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1D" w:rsidRPr="004A77F1" w:rsidRDefault="0035101D" w:rsidP="004A77F1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Конкурс грантів для надання підтримки хабам</w:t>
      </w:r>
      <w:r w:rsidRP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</w:t>
      </w:r>
      <w:r w:rsidRP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центрам, </w:t>
      </w:r>
    </w:p>
    <w:p w:rsidR="00AA7416" w:rsidRPr="004A77F1" w:rsidRDefault="0035101D" w:rsidP="004A77F1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що працюють з ВПО</w:t>
      </w:r>
      <w:r w:rsid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(від </w:t>
      </w:r>
      <w:r w:rsidR="004A77F1" w:rsidRP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IREX</w:t>
      </w:r>
      <w:r w:rsidR="004A7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)</w:t>
      </w:r>
    </w:p>
    <w:p w:rsidR="003A511A" w:rsidRPr="004A77F1" w:rsidRDefault="003A511A" w:rsidP="004A77F1">
      <w:pPr>
        <w:spacing w:after="0" w:line="216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1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. Тип допомоги: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Arial" w:hAnsi="Arial" w:cs="Arial"/>
          <w:color w:val="405E66"/>
          <w:sz w:val="26"/>
          <w:szCs w:val="26"/>
          <w:shd w:val="clear" w:color="auto" w:fill="FFFFFF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червень</w:t>
      </w:r>
      <w:r w:rsid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-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серпень 2023 р</w:t>
      </w:r>
      <w:r w:rsid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.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з можливим продовженням терміну проєкту</w:t>
      </w:r>
    </w:p>
    <w:p w:rsidR="00031957" w:rsidRPr="004A77F1" w:rsidRDefault="00031957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Черкаська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м.Черкаси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м.Умань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), Чернівецька область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br/>
        <w:t xml:space="preserve">(м. Чернівці), </w:t>
      </w:r>
      <w:r w:rsidR="00031957" w:rsidRPr="004A77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>Дніпропетровська область (</w:t>
      </w:r>
      <w:proofErr w:type="spellStart"/>
      <w:r w:rsidR="00031957" w:rsidRPr="004A77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>м.Дніпро</w:t>
      </w:r>
      <w:proofErr w:type="spellEnd"/>
      <w:r w:rsidR="00031957" w:rsidRPr="004A77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 xml:space="preserve">, м.Кам’янське, </w:t>
      </w:r>
      <w:proofErr w:type="spellStart"/>
      <w:r w:rsidR="00031957" w:rsidRPr="004A77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>м.Кривий</w:t>
      </w:r>
      <w:proofErr w:type="spellEnd"/>
      <w:r w:rsidR="00031957" w:rsidRPr="004A77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 xml:space="preserve"> Ріг),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Івано-Франківська область (м. Івано-Франківськ, м. Коломия), Хмельницька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м.Кам’янець-Подільський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м.Хмельницький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Кіровоградська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м.Кропивницький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Київська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м.Біла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Церква,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м.Київ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м.Обухів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Львівська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м.Червоноград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м.Львів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Полтавська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м.Кременчук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м.Полтава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Рівненська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м.Рівне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Тернопільська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м.Тернопіль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Вінницька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м.Вінниця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Волинська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м.Луцьк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Закарпатська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м.Ужгород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м.Мукачево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), Житомирська область (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м.Житомир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).  </w:t>
      </w: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7,5 тис. дол. США</w:t>
      </w:r>
    </w:p>
    <w:p w:rsidR="00EE6FEF" w:rsidRPr="004A77F1" w:rsidRDefault="00EE6FEF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EE6FEF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15 травня 2023 року</w:t>
      </w:r>
    </w:p>
    <w:p w:rsidR="00653024" w:rsidRPr="004A77F1" w:rsidRDefault="00653024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центри, </w:t>
      </w:r>
      <w:proofErr w:type="spellStart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хаби</w:t>
      </w:r>
      <w:proofErr w:type="spellEnd"/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та/або простори, які працюють з ВПО (</w:t>
      </w:r>
      <w:r w:rsidR="004A77F1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громадські організації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</w:t>
      </w:r>
    </w:p>
    <w:p w:rsidR="00B04FBC" w:rsidRPr="004A77F1" w:rsidRDefault="00B04FBC" w:rsidP="004A77F1">
      <w:pPr>
        <w:pStyle w:val="a6"/>
        <w:spacing w:before="0" w:beforeAutospacing="0" w:after="0" w:afterAutospacing="0" w:line="216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B04FBC" w:rsidRPr="00FB5179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4A77F1" w:rsidRPr="004A77F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Рада міжнародних наукових досліджень та обмінів (IREX)</w:t>
      </w:r>
    </w:p>
    <w:p w:rsidR="00653024" w:rsidRPr="00FB5179" w:rsidRDefault="00653024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E3830" w:rsidRPr="00FB5179" w:rsidRDefault="00B04FBC" w:rsidP="00FB5179">
      <w:pPr>
        <w:spacing w:after="0" w:line="216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FB5179"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вирішення конфліктів, психосоціальна підтримка, </w:t>
      </w:r>
      <w:proofErr w:type="spellStart"/>
      <w:r w:rsidR="00FB5179"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адвокація</w:t>
      </w:r>
      <w:proofErr w:type="spellEnd"/>
      <w:r w:rsidR="00FB5179"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згуртованість громади або доступ до базових ресурсів ВПО</w:t>
      </w:r>
      <w:r w:rsidR="00FB5179">
        <w:rPr>
          <w:rFonts w:ascii="Arial" w:hAnsi="Arial" w:cs="Arial"/>
          <w:color w:val="405E66"/>
          <w:shd w:val="clear" w:color="auto" w:fill="FFFFFF"/>
          <w:lang w:val="uk-UA"/>
        </w:rPr>
        <w:t>.</w:t>
      </w:r>
    </w:p>
    <w:p w:rsidR="00B04FBC" w:rsidRPr="004A77F1" w:rsidRDefault="00B04FBC" w:rsidP="004A77F1">
      <w:pPr>
        <w:pStyle w:val="a6"/>
        <w:spacing w:before="0" w:beforeAutospacing="0" w:after="0" w:afterAutospacing="0" w:line="216" w:lineRule="auto"/>
        <w:ind w:firstLine="567"/>
        <w:jc w:val="both"/>
        <w:rPr>
          <w:color w:val="000000" w:themeColor="text1"/>
          <w:spacing w:val="-4"/>
          <w:lang w:val="uk-UA"/>
        </w:rPr>
      </w:pPr>
    </w:p>
    <w:p w:rsidR="00052940" w:rsidRPr="004A77F1" w:rsidRDefault="00031957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r w:rsidRPr="004A77F1">
        <w:rPr>
          <w:color w:val="000000" w:themeColor="text1"/>
          <w:lang w:val="uk-UA"/>
        </w:rPr>
        <w:t xml:space="preserve">Програма “Єднання заради дії” впроваджується Радою міжнародних наукових досліджень та обмінів (IREX) у партнерстві з благодійною організацією </w:t>
      </w:r>
      <w:r w:rsidR="004A77F1" w:rsidRPr="004A77F1">
        <w:rPr>
          <w:color w:val="000000" w:themeColor="text1"/>
          <w:lang w:val="uk-UA"/>
        </w:rPr>
        <w:t>“</w:t>
      </w:r>
      <w:r w:rsidRPr="004A77F1">
        <w:rPr>
          <w:color w:val="000000" w:themeColor="text1"/>
          <w:lang w:val="uk-UA"/>
        </w:rPr>
        <w:t xml:space="preserve">Благодійний фонд </w:t>
      </w:r>
      <w:r w:rsidR="004A77F1" w:rsidRPr="004A77F1">
        <w:rPr>
          <w:color w:val="000000" w:themeColor="text1"/>
          <w:lang w:val="uk-UA"/>
        </w:rPr>
        <w:t>“</w:t>
      </w:r>
      <w:proofErr w:type="spellStart"/>
      <w:r w:rsidRPr="004A77F1">
        <w:rPr>
          <w:color w:val="000000" w:themeColor="text1"/>
          <w:lang w:val="uk-UA"/>
        </w:rPr>
        <w:t>Стабілізейшен</w:t>
      </w:r>
      <w:proofErr w:type="spellEnd"/>
      <w:r w:rsidRPr="004A77F1">
        <w:rPr>
          <w:color w:val="000000" w:themeColor="text1"/>
          <w:lang w:val="uk-UA"/>
        </w:rPr>
        <w:t xml:space="preserve"> </w:t>
      </w:r>
      <w:proofErr w:type="spellStart"/>
      <w:r w:rsidRPr="004A77F1">
        <w:rPr>
          <w:color w:val="000000" w:themeColor="text1"/>
          <w:lang w:val="uk-UA"/>
        </w:rPr>
        <w:t>суппорт</w:t>
      </w:r>
      <w:proofErr w:type="spellEnd"/>
      <w:r w:rsidRPr="004A77F1">
        <w:rPr>
          <w:color w:val="000000" w:themeColor="text1"/>
          <w:lang w:val="uk-UA"/>
        </w:rPr>
        <w:t xml:space="preserve"> </w:t>
      </w:r>
      <w:proofErr w:type="spellStart"/>
      <w:r w:rsidRPr="004A77F1">
        <w:rPr>
          <w:color w:val="000000" w:themeColor="text1"/>
          <w:lang w:val="uk-UA"/>
        </w:rPr>
        <w:t>сервісез</w:t>
      </w:r>
      <w:proofErr w:type="spellEnd"/>
      <w:r w:rsidR="004A77F1" w:rsidRPr="004A77F1">
        <w:rPr>
          <w:color w:val="000000" w:themeColor="text1"/>
          <w:lang w:val="uk-UA"/>
        </w:rPr>
        <w:t>”</w:t>
      </w:r>
      <w:r w:rsidRPr="004A77F1">
        <w:rPr>
          <w:color w:val="000000" w:themeColor="text1"/>
          <w:lang w:val="uk-UA"/>
        </w:rPr>
        <w:t xml:space="preserve"> та за підтримки Державного департаменту США. IREX має 25-річний досвід роботи в Україні, в тому числі безпосередню роботу з ВПО, міністерствами, представниками ЗМІ та місцевими громадами для підтримки ВПО в Україні.  Програма “Єднання заради дії” має на меті об’єднати ВПО, членів приймаючих громад, Уряду</w:t>
      </w:r>
      <w:r w:rsidR="004A77F1" w:rsidRPr="004A77F1">
        <w:rPr>
          <w:color w:val="000000" w:themeColor="text1"/>
          <w:lang w:val="uk-UA"/>
        </w:rPr>
        <w:t>.</w:t>
      </w:r>
      <w:r w:rsidRPr="004A77F1">
        <w:rPr>
          <w:color w:val="000000" w:themeColor="text1"/>
          <w:lang w:val="uk-UA"/>
        </w:rPr>
        <w:t xml:space="preserve"> </w:t>
      </w:r>
    </w:p>
    <w:p w:rsidR="00031957" w:rsidRPr="004A77F1" w:rsidRDefault="00031957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</w:p>
    <w:p w:rsidR="00031957" w:rsidRPr="004A77F1" w:rsidRDefault="00031957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r w:rsidRPr="004A77F1">
        <w:rPr>
          <w:color w:val="000000" w:themeColor="text1"/>
          <w:shd w:val="clear" w:color="auto" w:fill="FFFFFF"/>
          <w:lang w:val="uk-UA"/>
        </w:rPr>
        <w:t xml:space="preserve">До </w:t>
      </w:r>
      <w:r w:rsidRPr="00FB5179">
        <w:rPr>
          <w:color w:val="000000" w:themeColor="text1"/>
          <w:lang w:val="uk-UA"/>
        </w:rPr>
        <w:t>подальшої участі будуть лише 10 найуспішніших заявок в межах зазначеної географії.   </w:t>
      </w:r>
      <w:r w:rsidR="00FB5179" w:rsidRPr="00FB5179">
        <w:rPr>
          <w:color w:val="000000" w:themeColor="text1"/>
          <w:lang w:val="uk-UA"/>
        </w:rPr>
        <w:t xml:space="preserve">Грантова підтримка надаватиметься тільки тим </w:t>
      </w:r>
      <w:proofErr w:type="spellStart"/>
      <w:r w:rsidR="00FB5179" w:rsidRPr="00FB5179">
        <w:rPr>
          <w:color w:val="000000" w:themeColor="text1"/>
          <w:lang w:val="uk-UA"/>
        </w:rPr>
        <w:t>хабам</w:t>
      </w:r>
      <w:proofErr w:type="spellEnd"/>
      <w:r w:rsidR="00FB5179" w:rsidRPr="00FB5179">
        <w:rPr>
          <w:color w:val="000000" w:themeColor="text1"/>
          <w:lang w:val="uk-UA"/>
        </w:rPr>
        <w:t>/центрам, що успішно пройшли обов’язкове навчання від програми “Єднання заради дії”.</w:t>
      </w:r>
      <w:r w:rsidR="00FB5179">
        <w:rPr>
          <w:rFonts w:ascii="Arial" w:hAnsi="Arial" w:cs="Arial"/>
          <w:color w:val="405E66"/>
          <w:shd w:val="clear" w:color="auto" w:fill="FFFFFF"/>
        </w:rPr>
        <w:t> </w:t>
      </w:r>
    </w:p>
    <w:p w:rsidR="00031957" w:rsidRPr="004A77F1" w:rsidRDefault="00031957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</w:p>
    <w:p w:rsidR="00031957" w:rsidRPr="004A77F1" w:rsidRDefault="00031957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4A77F1">
        <w:rPr>
          <w:bCs/>
          <w:color w:val="000000" w:themeColor="text1"/>
          <w:shd w:val="clear" w:color="auto" w:fill="FFFFFF"/>
          <w:lang w:val="uk-UA"/>
        </w:rPr>
        <w:t>Запропоновані проєкти повинні відповідати меті програми “Єднання заради дії”  – стабілізувати ситуацію в Україні шляхом сприяння інтеграції ВПО, підвищення згуртованості громад, покращення місцевих і національних планів інтеграції та зменшення вразливості ВПО віком від 30 років. </w:t>
      </w:r>
      <w:r w:rsidRPr="004A77F1">
        <w:rPr>
          <w:color w:val="000000" w:themeColor="text1"/>
          <w:shd w:val="clear" w:color="auto" w:fill="FFFFFF"/>
          <w:lang w:val="uk-UA"/>
        </w:rPr>
        <w:t> </w:t>
      </w:r>
    </w:p>
    <w:p w:rsidR="004A77F1" w:rsidRPr="004A77F1" w:rsidRDefault="004A77F1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4A77F1">
        <w:rPr>
          <w:color w:val="000000" w:themeColor="text1"/>
          <w:shd w:val="clear" w:color="auto" w:fill="FFFFFF"/>
          <w:lang w:val="uk-UA"/>
        </w:rPr>
        <w:t>Власний внесок не передбачений. </w:t>
      </w:r>
    </w:p>
    <w:p w:rsidR="004A77F1" w:rsidRPr="004A77F1" w:rsidRDefault="004A77F1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shd w:val="clear" w:color="auto" w:fill="FFFFFF"/>
          <w:lang w:val="uk-UA"/>
        </w:rPr>
      </w:pPr>
    </w:p>
    <w:p w:rsidR="004A77F1" w:rsidRPr="004A77F1" w:rsidRDefault="004A77F1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r w:rsidRPr="004A77F1">
        <w:rPr>
          <w:color w:val="000000" w:themeColor="text1"/>
          <w:lang w:val="uk-UA"/>
        </w:rPr>
        <w:t>Заявки на фінансування будуть розглядатися у два етапи. Задля розгляду Вашої заявки на фінансування, будь ласка, надайте інформацію про ідею Вашого проєкту у вигляді концептуальної записки, в обсязі </w:t>
      </w:r>
      <w:r w:rsidRPr="004A77F1">
        <w:rPr>
          <w:bCs/>
          <w:color w:val="000000" w:themeColor="text1"/>
          <w:lang w:val="uk-UA"/>
        </w:rPr>
        <w:t>не більше двох сторінок</w:t>
      </w:r>
      <w:r w:rsidRPr="004A77F1">
        <w:rPr>
          <w:color w:val="000000" w:themeColor="text1"/>
          <w:lang w:val="uk-UA"/>
        </w:rPr>
        <w:t>. Одна організація або група організацій може подати на розгляд максимум дві концептуальні записки. Якщо Ваша концептуальна записка буде обрана, Вам буде запропоновано подати на розгляд повну пропозицію.  </w:t>
      </w:r>
    </w:p>
    <w:p w:rsidR="004A77F1" w:rsidRPr="004A77F1" w:rsidRDefault="004A77F1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r w:rsidRPr="004A77F1">
        <w:rPr>
          <w:color w:val="000000" w:themeColor="text1"/>
          <w:lang w:val="uk-UA"/>
        </w:rPr>
        <w:t> Концептуальна записка повинна бути надіслана до </w:t>
      </w:r>
      <w:r w:rsidRPr="004A77F1">
        <w:rPr>
          <w:bCs/>
          <w:color w:val="000000" w:themeColor="text1"/>
          <w:lang w:val="uk-UA"/>
        </w:rPr>
        <w:t>23:59 15 травня 2023 року</w:t>
      </w:r>
      <w:r w:rsidRPr="004A77F1">
        <w:rPr>
          <w:color w:val="000000" w:themeColor="text1"/>
          <w:lang w:val="uk-UA"/>
        </w:rPr>
        <w:t> (за Київським часом) на електронну пошту  </w:t>
      </w:r>
      <w:hyperlink r:id="rId9" w:tgtFrame="_blank" w:history="1">
        <w:r w:rsidRPr="004A77F1">
          <w:rPr>
            <w:rStyle w:val="a3"/>
            <w:lang w:val="uk-UA"/>
          </w:rPr>
          <w:t>tender-ua@irex.org</w:t>
        </w:r>
      </w:hyperlink>
      <w:r w:rsidRPr="004A77F1">
        <w:rPr>
          <w:color w:val="000000" w:themeColor="text1"/>
          <w:lang w:val="uk-UA"/>
        </w:rPr>
        <w:t>. У те</w:t>
      </w:r>
      <w:bookmarkStart w:id="0" w:name="_GoBack"/>
      <w:bookmarkEnd w:id="0"/>
      <w:r w:rsidRPr="004A77F1">
        <w:rPr>
          <w:color w:val="000000" w:themeColor="text1"/>
          <w:lang w:val="uk-UA"/>
        </w:rPr>
        <w:t>мі листа вкажіть: “Концептуальна записка на грантову підтримку “Єднання заради дії”. Заходи для ВПО”. До розгляду будуть прийматися тільки заявки з темою “Концептуальна записка на грантову підтримку “Єднання заради дії”. Заходи для ВПО”.  Будь ласка, зверніть увагу, що IREX наполегливо рекомендує зацікавленим організаціям уважно ознайомитися з усіма інструкціями та рекомендаціями в цьому документі.   </w:t>
      </w:r>
    </w:p>
    <w:p w:rsidR="008C70AD" w:rsidRPr="004A77F1" w:rsidRDefault="00112E75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proofErr w:type="spellStart"/>
      <w:r w:rsidRPr="004A77F1">
        <w:rPr>
          <w:b/>
          <w:color w:val="000000" w:themeColor="text1"/>
          <w:lang w:val="uk-UA"/>
        </w:rPr>
        <w:t>ІнфоДжерело</w:t>
      </w:r>
      <w:proofErr w:type="spellEnd"/>
      <w:r w:rsidRPr="004A77F1">
        <w:rPr>
          <w:b/>
          <w:color w:val="000000" w:themeColor="text1"/>
          <w:lang w:val="uk-UA"/>
        </w:rPr>
        <w:t>:</w:t>
      </w:r>
      <w:r w:rsidRPr="004A77F1">
        <w:rPr>
          <w:color w:val="000000" w:themeColor="text1"/>
          <w:lang w:val="uk-UA"/>
        </w:rPr>
        <w:t xml:space="preserve"> </w:t>
      </w:r>
      <w:hyperlink r:id="rId10" w:history="1">
        <w:r w:rsidR="00031957" w:rsidRPr="004A77F1">
          <w:rPr>
            <w:rStyle w:val="a3"/>
            <w:lang w:val="uk-UA"/>
          </w:rPr>
          <w:t>https://www.prostir.ua/?grants=konkurs-hrantiv-dlya-nadannya-pidtrymky-habamtsentram-scho-pratsyuyut-z-vpo</w:t>
        </w:r>
      </w:hyperlink>
      <w:r w:rsidR="00EC138B" w:rsidRPr="00EC138B">
        <w:rPr>
          <w:rStyle w:val="a3"/>
          <w:u w:val="none"/>
          <w:lang w:val="uk-UA"/>
        </w:rPr>
        <w:t xml:space="preserve"> </w:t>
      </w:r>
      <w:proofErr w:type="spellStart"/>
      <w:r w:rsidR="00151F2B" w:rsidRPr="00B415AC">
        <w:t>або</w:t>
      </w:r>
      <w:proofErr w:type="spellEnd"/>
      <w:r w:rsidR="00151F2B" w:rsidRPr="00B415AC">
        <w:t xml:space="preserve"> </w:t>
      </w:r>
      <w:r w:rsidR="00151F2B" w:rsidRPr="00151F2B">
        <w:rPr>
          <w:rStyle w:val="a3"/>
          <w:lang w:val="uk-UA"/>
        </w:rPr>
        <w:t>http://www.chaszmin.com.ua/category/granty-tut/</w:t>
      </w:r>
      <w:r w:rsidR="00052940" w:rsidRPr="004A77F1">
        <w:rPr>
          <w:color w:val="000000" w:themeColor="text1"/>
          <w:lang w:val="uk-UA"/>
        </w:rPr>
        <w:t xml:space="preserve"> </w:t>
      </w:r>
      <w:r w:rsidR="00D224F3" w:rsidRPr="004A77F1">
        <w:rPr>
          <w:rStyle w:val="a3"/>
          <w:lang w:val="uk-UA"/>
        </w:rPr>
        <w:t xml:space="preserve"> </w:t>
      </w:r>
      <w:r w:rsidR="003A511A" w:rsidRPr="004A77F1">
        <w:rPr>
          <w:rStyle w:val="a3"/>
          <w:lang w:val="uk-UA"/>
        </w:rPr>
        <w:t xml:space="preserve"> </w:t>
      </w:r>
    </w:p>
    <w:sectPr w:rsidR="008C70AD" w:rsidRPr="004A77F1" w:rsidSect="000F6220">
      <w:headerReference w:type="default" r:id="rId11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BA" w:rsidRDefault="009917BA" w:rsidP="008C70AD">
      <w:pPr>
        <w:spacing w:after="0" w:line="240" w:lineRule="auto"/>
      </w:pPr>
      <w:r>
        <w:separator/>
      </w:r>
    </w:p>
  </w:endnote>
  <w:endnote w:type="continuationSeparator" w:id="0">
    <w:p w:rsidR="009917BA" w:rsidRDefault="009917BA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BA" w:rsidRDefault="009917BA" w:rsidP="008C70AD">
      <w:pPr>
        <w:spacing w:after="0" w:line="240" w:lineRule="auto"/>
      </w:pPr>
      <w:r>
        <w:separator/>
      </w:r>
    </w:p>
  </w:footnote>
  <w:footnote w:type="continuationSeparator" w:id="0">
    <w:p w:rsidR="009917BA" w:rsidRDefault="009917BA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031957" w:rsidRDefault="00031957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179">
          <w:rPr>
            <w:noProof/>
          </w:rPr>
          <w:t>2</w:t>
        </w:r>
        <w:r>
          <w:fldChar w:fldCharType="end"/>
        </w:r>
      </w:p>
      <w:p w:rsidR="00031957" w:rsidRPr="003A511A" w:rsidRDefault="009917BA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B659E"/>
    <w:multiLevelType w:val="multilevel"/>
    <w:tmpl w:val="661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11"/>
  </w:num>
  <w:num w:numId="8">
    <w:abstractNumId w:val="9"/>
  </w:num>
  <w:num w:numId="9">
    <w:abstractNumId w:val="6"/>
  </w:num>
  <w:num w:numId="10">
    <w:abstractNumId w:val="22"/>
  </w:num>
  <w:num w:numId="11">
    <w:abstractNumId w:val="13"/>
  </w:num>
  <w:num w:numId="12">
    <w:abstractNumId w:val="0"/>
  </w:num>
  <w:num w:numId="13">
    <w:abstractNumId w:val="28"/>
  </w:num>
  <w:num w:numId="14">
    <w:abstractNumId w:val="19"/>
  </w:num>
  <w:num w:numId="15">
    <w:abstractNumId w:val="23"/>
  </w:num>
  <w:num w:numId="16">
    <w:abstractNumId w:val="14"/>
  </w:num>
  <w:num w:numId="17">
    <w:abstractNumId w:val="10"/>
  </w:num>
  <w:num w:numId="18">
    <w:abstractNumId w:val="1"/>
  </w:num>
  <w:num w:numId="19">
    <w:abstractNumId w:val="26"/>
  </w:num>
  <w:num w:numId="20">
    <w:abstractNumId w:val="4"/>
  </w:num>
  <w:num w:numId="21">
    <w:abstractNumId w:val="2"/>
  </w:num>
  <w:num w:numId="22">
    <w:abstractNumId w:val="5"/>
  </w:num>
  <w:num w:numId="23">
    <w:abstractNumId w:val="15"/>
  </w:num>
  <w:num w:numId="24">
    <w:abstractNumId w:val="12"/>
  </w:num>
  <w:num w:numId="25">
    <w:abstractNumId w:val="20"/>
  </w:num>
  <w:num w:numId="26">
    <w:abstractNumId w:val="7"/>
  </w:num>
  <w:num w:numId="27">
    <w:abstractNumId w:val="8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1957"/>
    <w:rsid w:val="00036FB5"/>
    <w:rsid w:val="00052940"/>
    <w:rsid w:val="00076521"/>
    <w:rsid w:val="000E3830"/>
    <w:rsid w:val="000F6220"/>
    <w:rsid w:val="000F6F83"/>
    <w:rsid w:val="00112E75"/>
    <w:rsid w:val="001426C1"/>
    <w:rsid w:val="00151F2B"/>
    <w:rsid w:val="00227841"/>
    <w:rsid w:val="0028354D"/>
    <w:rsid w:val="002A4548"/>
    <w:rsid w:val="002F332D"/>
    <w:rsid w:val="00320EF1"/>
    <w:rsid w:val="00321D11"/>
    <w:rsid w:val="0035101D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3E396C"/>
    <w:rsid w:val="004012E2"/>
    <w:rsid w:val="00446B8A"/>
    <w:rsid w:val="004801CA"/>
    <w:rsid w:val="004A1EEF"/>
    <w:rsid w:val="004A77F1"/>
    <w:rsid w:val="004B7E73"/>
    <w:rsid w:val="004C5761"/>
    <w:rsid w:val="004C5906"/>
    <w:rsid w:val="00521BFB"/>
    <w:rsid w:val="00534F87"/>
    <w:rsid w:val="005677E8"/>
    <w:rsid w:val="005A4400"/>
    <w:rsid w:val="00624AD1"/>
    <w:rsid w:val="00653024"/>
    <w:rsid w:val="006D0B20"/>
    <w:rsid w:val="006F24F3"/>
    <w:rsid w:val="00737523"/>
    <w:rsid w:val="007443D1"/>
    <w:rsid w:val="00772C2A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9917BA"/>
    <w:rsid w:val="00AA7416"/>
    <w:rsid w:val="00AB2563"/>
    <w:rsid w:val="00AE7369"/>
    <w:rsid w:val="00B04FBC"/>
    <w:rsid w:val="00B20336"/>
    <w:rsid w:val="00B305C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B3402"/>
    <w:rsid w:val="00EC138B"/>
    <w:rsid w:val="00EE6FEF"/>
    <w:rsid w:val="00F02065"/>
    <w:rsid w:val="00F119D3"/>
    <w:rsid w:val="00F542D4"/>
    <w:rsid w:val="00F569D5"/>
    <w:rsid w:val="00F57894"/>
    <w:rsid w:val="00F66BAB"/>
    <w:rsid w:val="00F712C2"/>
    <w:rsid w:val="00FB517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rostir.ua/?grants=konkurs-hrantiv-dlya-nadannya-pidtrymky-habamtsentram-scho-pratsyuyut-z-vp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-ua@irex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BD19-F75F-4738-94C5-12048A02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90</cp:revision>
  <dcterms:created xsi:type="dcterms:W3CDTF">2022-10-24T08:06:00Z</dcterms:created>
  <dcterms:modified xsi:type="dcterms:W3CDTF">2023-05-08T13:34:00Z</dcterms:modified>
</cp:coreProperties>
</file>