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2B" w:rsidRPr="000A669D" w:rsidRDefault="00455F2B" w:rsidP="000A669D">
      <w:pPr>
        <w:ind w:firstLine="6521"/>
        <w:rPr>
          <w:rFonts w:eastAsia="Times New Roman"/>
          <w:color w:val="000000" w:themeColor="text1"/>
          <w:lang w:eastAsia="ru-RU"/>
        </w:rPr>
      </w:pPr>
      <w:proofErr w:type="spellStart"/>
      <w:r w:rsidRPr="000A669D">
        <w:rPr>
          <w:rFonts w:eastAsia="Times New Roman"/>
          <w:color w:val="000000" w:themeColor="text1"/>
          <w:lang w:eastAsia="ru-RU"/>
        </w:rPr>
        <w:t>Додаток</w:t>
      </w:r>
      <w:proofErr w:type="spellEnd"/>
      <w:r w:rsidRPr="000A669D">
        <w:rPr>
          <w:rFonts w:eastAsia="Times New Roman"/>
          <w:color w:val="000000" w:themeColor="text1"/>
          <w:lang w:val="uk-UA" w:eastAsia="ru-RU"/>
        </w:rPr>
        <w:t xml:space="preserve"> 4</w:t>
      </w:r>
    </w:p>
    <w:p w:rsidR="005010CB" w:rsidRPr="000A669D" w:rsidRDefault="005010CB" w:rsidP="000A669D">
      <w:pPr>
        <w:ind w:firstLine="6521"/>
        <w:rPr>
          <w:rFonts w:eastAsia="Times New Roman"/>
          <w:color w:val="000000" w:themeColor="text1"/>
          <w:lang w:val="uk-UA" w:eastAsia="ru-RU"/>
        </w:rPr>
      </w:pPr>
      <w:r w:rsidRPr="000A669D">
        <w:rPr>
          <w:rFonts w:eastAsia="Times New Roman"/>
          <w:color w:val="000000" w:themeColor="text1"/>
          <w:lang w:val="uk-UA" w:eastAsia="ru-RU"/>
        </w:rPr>
        <w:t>до рішення селищної ради</w:t>
      </w:r>
    </w:p>
    <w:p w:rsidR="005010CB" w:rsidRPr="000A669D" w:rsidRDefault="005010CB" w:rsidP="000A669D">
      <w:pPr>
        <w:ind w:firstLine="6521"/>
        <w:rPr>
          <w:rFonts w:eastAsia="Times New Roman"/>
          <w:color w:val="000000" w:themeColor="text1"/>
          <w:lang w:val="uk-UA" w:eastAsia="ru-RU"/>
        </w:rPr>
      </w:pPr>
      <w:r w:rsidRPr="000A669D">
        <w:rPr>
          <w:rFonts w:eastAsia="Times New Roman"/>
          <w:color w:val="000000" w:themeColor="text1"/>
          <w:lang w:val="uk-UA" w:eastAsia="ru-RU"/>
        </w:rPr>
        <w:t>від 30 листопада 2022 року</w:t>
      </w:r>
    </w:p>
    <w:p w:rsidR="00455F2B" w:rsidRPr="000A669D" w:rsidRDefault="005010CB" w:rsidP="000A669D">
      <w:pPr>
        <w:tabs>
          <w:tab w:val="center" w:pos="4819"/>
          <w:tab w:val="left" w:pos="6720"/>
        </w:tabs>
        <w:ind w:firstLine="6521"/>
        <w:rPr>
          <w:rFonts w:eastAsia="Times New Roman"/>
          <w:color w:val="000000" w:themeColor="text1"/>
          <w:lang w:val="uk-UA" w:eastAsia="ru-RU"/>
        </w:rPr>
      </w:pPr>
      <w:r w:rsidRPr="000A669D">
        <w:rPr>
          <w:rFonts w:eastAsia="Times New Roman"/>
          <w:color w:val="000000" w:themeColor="text1"/>
          <w:lang w:val="uk-UA" w:eastAsia="ru-RU"/>
        </w:rPr>
        <w:t>№ 1390-21/VIII</w:t>
      </w:r>
      <w:r w:rsidRPr="000A669D">
        <w:rPr>
          <w:rFonts w:eastAsia="Times New Roman"/>
          <w:color w:val="000000" w:themeColor="text1"/>
          <w:lang w:val="uk-UA" w:eastAsia="ru-RU"/>
        </w:rPr>
        <w:tab/>
      </w:r>
    </w:p>
    <w:p w:rsidR="005010CB" w:rsidRPr="000A669D" w:rsidRDefault="005010CB" w:rsidP="005010CB">
      <w:pPr>
        <w:jc w:val="center"/>
        <w:rPr>
          <w:rFonts w:eastAsia="Times New Roman"/>
          <w:color w:val="000000" w:themeColor="text1"/>
          <w:lang w:eastAsia="ru-RU"/>
        </w:rPr>
      </w:pPr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val="uk-UA" w:eastAsia="ru-RU"/>
        </w:rPr>
      </w:pPr>
      <w:r w:rsidRPr="000A669D">
        <w:rPr>
          <w:rFonts w:eastAsia="Times New Roman"/>
          <w:b/>
          <w:color w:val="000000" w:themeColor="text1"/>
          <w:lang w:eastAsia="ru-RU"/>
        </w:rPr>
        <w:t>МЕТОДИКА</w:t>
      </w:r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eastAsia="ru-RU"/>
        </w:rPr>
      </w:pP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розрахунку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орендної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плати за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користування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майном</w:t>
      </w:r>
      <w:proofErr w:type="spellEnd"/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val="uk-UA" w:eastAsia="ru-RU"/>
        </w:rPr>
      </w:pPr>
      <w:r w:rsidRPr="000A669D">
        <w:rPr>
          <w:rFonts w:eastAsia="Times New Roman"/>
          <w:b/>
          <w:color w:val="000000" w:themeColor="text1"/>
          <w:lang w:eastAsia="ru-RU"/>
        </w:rPr>
        <w:t xml:space="preserve">Межівської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селищної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територіальної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громади</w:t>
      </w:r>
      <w:proofErr w:type="spellEnd"/>
    </w:p>
    <w:p w:rsidR="00455F2B" w:rsidRPr="000A669D" w:rsidRDefault="00455F2B" w:rsidP="00455F2B">
      <w:pPr>
        <w:ind w:firstLine="708"/>
        <w:jc w:val="both"/>
        <w:rPr>
          <w:color w:val="000000" w:themeColor="text1"/>
          <w:lang w:val="uk-UA"/>
        </w:rPr>
      </w:pP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1. Методику </w:t>
      </w:r>
      <w:proofErr w:type="spellStart"/>
      <w:r w:rsidRPr="000A669D">
        <w:rPr>
          <w:color w:val="000000" w:themeColor="text1"/>
        </w:rPr>
        <w:t>розроблено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метою </w:t>
      </w:r>
      <w:proofErr w:type="spellStart"/>
      <w:r w:rsidRPr="000A669D">
        <w:rPr>
          <w:color w:val="000000" w:themeColor="text1"/>
        </w:rPr>
        <w:t>створення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єдиного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організаційн</w:t>
      </w:r>
      <w:proofErr w:type="gramStart"/>
      <w:r w:rsidRPr="000A669D">
        <w:rPr>
          <w:color w:val="000000" w:themeColor="text1"/>
        </w:rPr>
        <w:t>о</w:t>
      </w:r>
      <w:proofErr w:type="spellEnd"/>
      <w:r w:rsidRPr="000A669D">
        <w:rPr>
          <w:color w:val="000000" w:themeColor="text1"/>
        </w:rPr>
        <w:t>-</w:t>
      </w:r>
      <w:proofErr w:type="gram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економічного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механізму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справляння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об’єкти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Закону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 xml:space="preserve"> “Про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державного та </w:t>
      </w:r>
      <w:proofErr w:type="spellStart"/>
      <w:r w:rsidRPr="000A669D">
        <w:rPr>
          <w:color w:val="000000" w:themeColor="text1"/>
        </w:rPr>
        <w:t>комунального</w:t>
      </w:r>
      <w:proofErr w:type="spellEnd"/>
      <w:r w:rsidRPr="000A669D">
        <w:rPr>
          <w:color w:val="000000" w:themeColor="text1"/>
        </w:rPr>
        <w:t xml:space="preserve"> майна“ (</w:t>
      </w:r>
      <w:proofErr w:type="spellStart"/>
      <w:r w:rsidRPr="000A669D">
        <w:rPr>
          <w:color w:val="000000" w:themeColor="text1"/>
        </w:rPr>
        <w:t>надалі</w:t>
      </w:r>
      <w:proofErr w:type="spellEnd"/>
      <w:r w:rsidRPr="000A669D">
        <w:rPr>
          <w:color w:val="000000" w:themeColor="text1"/>
        </w:rPr>
        <w:t xml:space="preserve"> – Закон) та Порядку </w:t>
      </w:r>
      <w:proofErr w:type="spellStart"/>
      <w:r w:rsidRPr="000A669D">
        <w:rPr>
          <w:color w:val="000000" w:themeColor="text1"/>
        </w:rPr>
        <w:t>передачі</w:t>
      </w:r>
      <w:proofErr w:type="spellEnd"/>
      <w:r w:rsidRPr="000A669D">
        <w:rPr>
          <w:color w:val="000000" w:themeColor="text1"/>
        </w:rPr>
        <w:t xml:space="preserve">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державного та </w:t>
      </w:r>
      <w:proofErr w:type="spellStart"/>
      <w:r w:rsidRPr="000A669D">
        <w:rPr>
          <w:color w:val="000000" w:themeColor="text1"/>
        </w:rPr>
        <w:t>комунального</w:t>
      </w:r>
      <w:proofErr w:type="spellEnd"/>
      <w:r w:rsidRPr="000A669D">
        <w:rPr>
          <w:color w:val="000000" w:themeColor="text1"/>
        </w:rPr>
        <w:t xml:space="preserve"> майна, </w:t>
      </w:r>
      <w:proofErr w:type="spellStart"/>
      <w:r w:rsidRPr="000A669D">
        <w:rPr>
          <w:color w:val="000000" w:themeColor="text1"/>
        </w:rPr>
        <w:t>затвердженим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постановою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Кабінету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Міністрів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</w:t>
      </w:r>
      <w:proofErr w:type="spellEnd"/>
      <w:r w:rsidRPr="000A669D">
        <w:rPr>
          <w:color w:val="000000" w:themeColor="text1"/>
        </w:rPr>
        <w:t xml:space="preserve"> 03.06.2020 № 483 (</w:t>
      </w:r>
      <w:proofErr w:type="spellStart"/>
      <w:r w:rsidRPr="000A669D">
        <w:rPr>
          <w:color w:val="000000" w:themeColor="text1"/>
        </w:rPr>
        <w:t>надалі</w:t>
      </w:r>
      <w:proofErr w:type="spellEnd"/>
      <w:r w:rsidRPr="000A669D">
        <w:rPr>
          <w:color w:val="000000" w:themeColor="text1"/>
        </w:rPr>
        <w:t xml:space="preserve"> – Порядок).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Розмі</w:t>
      </w:r>
      <w:proofErr w:type="gramStart"/>
      <w:r w:rsidRPr="000A669D">
        <w:rPr>
          <w:color w:val="000000" w:themeColor="text1"/>
        </w:rPr>
        <w:t>р</w:t>
      </w:r>
      <w:proofErr w:type="spellEnd"/>
      <w:proofErr w:type="gram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>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>-</w:t>
      </w:r>
      <w:r w:rsidRPr="000A669D">
        <w:rPr>
          <w:color w:val="000000" w:themeColor="text1"/>
          <w:lang w:val="uk-UA"/>
        </w:rPr>
        <w:t xml:space="preserve"> </w:t>
      </w:r>
      <w:proofErr w:type="gramStart"/>
      <w:r w:rsidRPr="000A669D">
        <w:rPr>
          <w:color w:val="000000" w:themeColor="text1"/>
        </w:rPr>
        <w:t>у</w:t>
      </w:r>
      <w:proofErr w:type="gram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раз</w:t>
      </w:r>
      <w:proofErr w:type="gramEnd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передачі</w:t>
      </w:r>
      <w:proofErr w:type="spellEnd"/>
      <w:r w:rsidRPr="000A669D">
        <w:rPr>
          <w:color w:val="000000" w:themeColor="text1"/>
        </w:rPr>
        <w:t xml:space="preserve"> майна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шляхом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електронного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  <w:lang w:val="uk-UA"/>
        </w:rPr>
        <w:t xml:space="preserve"> </w:t>
      </w:r>
      <w:r w:rsidRPr="000A669D">
        <w:rPr>
          <w:color w:val="000000" w:themeColor="text1"/>
        </w:rPr>
        <w:t>-</w:t>
      </w:r>
      <w:r w:rsidRPr="000A669D">
        <w:rPr>
          <w:color w:val="000000" w:themeColor="text1"/>
          <w:lang w:val="uk-UA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</w:t>
      </w:r>
      <w:proofErr w:type="spellStart"/>
      <w:r w:rsidRPr="000A669D">
        <w:rPr>
          <w:color w:val="000000" w:themeColor="text1"/>
        </w:rPr>
        <w:t>цінових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пропозицій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учасників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>-</w:t>
      </w:r>
      <w:r w:rsidRPr="000A669D">
        <w:rPr>
          <w:color w:val="000000" w:themeColor="text1"/>
          <w:lang w:val="uk-UA"/>
        </w:rPr>
        <w:t xml:space="preserve"> </w:t>
      </w:r>
      <w:proofErr w:type="gramStart"/>
      <w:r w:rsidRPr="000A669D">
        <w:rPr>
          <w:color w:val="000000" w:themeColor="text1"/>
        </w:rPr>
        <w:t>у</w:t>
      </w:r>
      <w:proofErr w:type="gram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раз</w:t>
      </w:r>
      <w:proofErr w:type="gramEnd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передачі</w:t>
      </w:r>
      <w:proofErr w:type="spellEnd"/>
      <w:r w:rsidRPr="000A669D">
        <w:rPr>
          <w:color w:val="000000" w:themeColor="text1"/>
        </w:rPr>
        <w:t xml:space="preserve"> майна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без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  <w:lang w:val="uk-UA"/>
        </w:rPr>
        <w:t xml:space="preserve"> </w:t>
      </w:r>
      <w:r w:rsidRPr="000A669D">
        <w:rPr>
          <w:color w:val="000000" w:themeColor="text1"/>
        </w:rPr>
        <w:t>-</w:t>
      </w:r>
      <w:r w:rsidRPr="000A669D">
        <w:rPr>
          <w:color w:val="000000" w:themeColor="text1"/>
          <w:lang w:val="uk-UA"/>
        </w:rPr>
        <w:t xml:space="preserve"> </w:t>
      </w:r>
      <w:proofErr w:type="spellStart"/>
      <w:r w:rsidRPr="000A669D">
        <w:rPr>
          <w:color w:val="000000" w:themeColor="text1"/>
        </w:rPr>
        <w:t>згідно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Методикою </w:t>
      </w:r>
      <w:proofErr w:type="spellStart"/>
      <w:r w:rsidRPr="000A669D">
        <w:rPr>
          <w:color w:val="000000" w:themeColor="text1"/>
        </w:rPr>
        <w:t>розрахунку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До складу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не </w:t>
      </w:r>
      <w:proofErr w:type="spellStart"/>
      <w:r w:rsidRPr="000A669D">
        <w:rPr>
          <w:color w:val="000000" w:themeColor="text1"/>
        </w:rPr>
        <w:t>входять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витрати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утримання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орендованого</w:t>
      </w:r>
      <w:proofErr w:type="spellEnd"/>
      <w:r w:rsidRPr="000A669D">
        <w:rPr>
          <w:color w:val="000000" w:themeColor="text1"/>
        </w:rPr>
        <w:t xml:space="preserve"> майна</w:t>
      </w:r>
      <w:r w:rsidRPr="000A669D">
        <w:rPr>
          <w:color w:val="000000" w:themeColor="text1"/>
          <w:lang w:val="uk-UA"/>
        </w:rPr>
        <w:t xml:space="preserve"> </w:t>
      </w:r>
      <w:r w:rsidRPr="000A669D">
        <w:rPr>
          <w:color w:val="000000" w:themeColor="text1"/>
        </w:rPr>
        <w:t>(</w:t>
      </w:r>
      <w:proofErr w:type="spellStart"/>
      <w:r w:rsidRPr="000A669D">
        <w:rPr>
          <w:color w:val="000000" w:themeColor="text1"/>
        </w:rPr>
        <w:t>комунальних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послуг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послуг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управління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об’єктом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нерухомості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витрат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утримання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прибудинкової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території</w:t>
      </w:r>
      <w:proofErr w:type="spellEnd"/>
      <w:r w:rsidRPr="000A669D">
        <w:rPr>
          <w:color w:val="000000" w:themeColor="text1"/>
        </w:rPr>
        <w:t xml:space="preserve"> та </w:t>
      </w:r>
      <w:proofErr w:type="spellStart"/>
      <w:r w:rsidRPr="000A669D">
        <w:rPr>
          <w:color w:val="000000" w:themeColor="text1"/>
        </w:rPr>
        <w:t>місць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загального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користування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послуг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ремонту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технічного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обслуговування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інженерного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обладнання</w:t>
      </w:r>
      <w:proofErr w:type="spellEnd"/>
      <w:r w:rsidRPr="000A669D">
        <w:rPr>
          <w:color w:val="000000" w:themeColor="text1"/>
        </w:rPr>
        <w:t xml:space="preserve"> та </w:t>
      </w:r>
      <w:proofErr w:type="spellStart"/>
      <w:r w:rsidRPr="000A669D">
        <w:rPr>
          <w:color w:val="000000" w:themeColor="text1"/>
        </w:rPr>
        <w:t>внутрішньобудинкових</w:t>
      </w:r>
      <w:proofErr w:type="spellEnd"/>
      <w:r w:rsidRPr="000A669D">
        <w:rPr>
          <w:color w:val="000000" w:themeColor="text1"/>
        </w:rPr>
        <w:t xml:space="preserve"> мереж, ремонту </w:t>
      </w:r>
      <w:proofErr w:type="spellStart"/>
      <w:r w:rsidRPr="000A669D">
        <w:rPr>
          <w:color w:val="000000" w:themeColor="text1"/>
        </w:rPr>
        <w:t>буді</w:t>
      </w:r>
      <w:proofErr w:type="gramStart"/>
      <w:r w:rsidRPr="000A669D">
        <w:rPr>
          <w:color w:val="000000" w:themeColor="text1"/>
        </w:rPr>
        <w:t>вл</w:t>
      </w:r>
      <w:proofErr w:type="gramEnd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, у т.ч.: </w:t>
      </w:r>
      <w:proofErr w:type="spellStart"/>
      <w:r w:rsidRPr="000A669D">
        <w:rPr>
          <w:color w:val="000000" w:themeColor="text1"/>
        </w:rPr>
        <w:t>покрівлі</w:t>
      </w:r>
      <w:proofErr w:type="spellEnd"/>
      <w:r w:rsidRPr="000A669D">
        <w:rPr>
          <w:color w:val="000000" w:themeColor="text1"/>
        </w:rPr>
        <w:t xml:space="preserve">, фасаду, </w:t>
      </w:r>
      <w:proofErr w:type="spellStart"/>
      <w:r w:rsidRPr="000A669D">
        <w:rPr>
          <w:color w:val="000000" w:themeColor="text1"/>
        </w:rPr>
        <w:t>вивіз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сміття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тощо</w:t>
      </w:r>
      <w:proofErr w:type="spellEnd"/>
      <w:r w:rsidRPr="000A669D">
        <w:rPr>
          <w:color w:val="000000" w:themeColor="text1"/>
        </w:rPr>
        <w:t xml:space="preserve">) та плата за </w:t>
      </w:r>
      <w:proofErr w:type="spellStart"/>
      <w:r w:rsidRPr="000A669D">
        <w:rPr>
          <w:color w:val="000000" w:themeColor="text1"/>
        </w:rPr>
        <w:t>послуги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які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</w:t>
      </w:r>
      <w:proofErr w:type="spellStart"/>
      <w:r w:rsidRPr="000A669D">
        <w:rPr>
          <w:color w:val="000000" w:themeColor="text1"/>
        </w:rPr>
        <w:t>укладених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угод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зобов'язується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надавати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орендарю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комунальне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ідприємство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організація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установа</w:t>
      </w:r>
      <w:proofErr w:type="spellEnd"/>
      <w:r w:rsidRPr="000A669D">
        <w:rPr>
          <w:color w:val="000000" w:themeColor="text1"/>
        </w:rPr>
        <w:t xml:space="preserve">, на </w:t>
      </w:r>
      <w:proofErr w:type="spellStart"/>
      <w:r w:rsidRPr="000A669D">
        <w:rPr>
          <w:color w:val="000000" w:themeColor="text1"/>
        </w:rPr>
        <w:t>балансі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яких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перебуває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це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майно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2.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 при </w:t>
      </w:r>
      <w:proofErr w:type="spellStart"/>
      <w:r w:rsidRPr="000A669D">
        <w:rPr>
          <w:color w:val="000000" w:themeColor="text1"/>
        </w:rPr>
        <w:t>переукладенні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внесенні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змін</w:t>
      </w:r>
      <w:proofErr w:type="spellEnd"/>
      <w:r w:rsidRPr="000A669D">
        <w:rPr>
          <w:color w:val="000000" w:themeColor="text1"/>
        </w:rPr>
        <w:t xml:space="preserve"> до договору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розраховується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такій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послідовності</w:t>
      </w:r>
      <w:proofErr w:type="spellEnd"/>
      <w:r w:rsidRPr="000A669D">
        <w:rPr>
          <w:color w:val="000000" w:themeColor="text1"/>
        </w:rPr>
        <w:t xml:space="preserve">: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плати; на </w:t>
      </w:r>
      <w:proofErr w:type="spellStart"/>
      <w:r w:rsidRPr="000A669D">
        <w:rPr>
          <w:color w:val="000000" w:themeColor="text1"/>
        </w:rPr>
        <w:t>основі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розміру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</w:t>
      </w:r>
      <w:proofErr w:type="spellStart"/>
      <w:r w:rsidRPr="000A669D">
        <w:rPr>
          <w:color w:val="000000" w:themeColor="text1"/>
        </w:rPr>
        <w:t>встановлюється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перший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яка </w:t>
      </w:r>
      <w:proofErr w:type="spellStart"/>
      <w:r w:rsidRPr="000A669D">
        <w:rPr>
          <w:color w:val="000000" w:themeColor="text1"/>
        </w:rPr>
        <w:t>зазначається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договорі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;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врахуванням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розміру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перший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розраховується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</w:t>
      </w:r>
      <w:proofErr w:type="gramStart"/>
      <w:r w:rsidRPr="000A669D">
        <w:rPr>
          <w:color w:val="000000" w:themeColor="text1"/>
        </w:rPr>
        <w:t>р</w:t>
      </w:r>
      <w:proofErr w:type="spellEnd"/>
      <w:proofErr w:type="gram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наступні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3. У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нерухомого</w:t>
      </w:r>
      <w:proofErr w:type="spellEnd"/>
      <w:r w:rsidRPr="000A669D">
        <w:rPr>
          <w:color w:val="000000" w:themeColor="text1"/>
        </w:rPr>
        <w:t xml:space="preserve"> майна без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 (</w:t>
      </w:r>
      <w:proofErr w:type="spellStart"/>
      <w:r w:rsidRPr="000A669D">
        <w:rPr>
          <w:color w:val="000000" w:themeColor="text1"/>
        </w:rPr>
        <w:t>крім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нерухомого</w:t>
      </w:r>
      <w:proofErr w:type="spellEnd"/>
      <w:r w:rsidRPr="000A669D">
        <w:rPr>
          <w:color w:val="000000" w:themeColor="text1"/>
        </w:rPr>
        <w:t xml:space="preserve"> майна </w:t>
      </w:r>
      <w:proofErr w:type="spellStart"/>
      <w:r w:rsidRPr="000A669D">
        <w:rPr>
          <w:color w:val="000000" w:themeColor="text1"/>
        </w:rPr>
        <w:t>фізичними</w:t>
      </w:r>
      <w:proofErr w:type="spellEnd"/>
      <w:r w:rsidRPr="000A669D">
        <w:rPr>
          <w:color w:val="000000" w:themeColor="text1"/>
        </w:rPr>
        <w:t xml:space="preserve"> та </w:t>
      </w:r>
      <w:proofErr w:type="spellStart"/>
      <w:r w:rsidRPr="000A669D">
        <w:rPr>
          <w:color w:val="000000" w:themeColor="text1"/>
        </w:rPr>
        <w:t>юридичними</w:t>
      </w:r>
      <w:proofErr w:type="spellEnd"/>
      <w:r w:rsidRPr="000A669D">
        <w:rPr>
          <w:color w:val="000000" w:themeColor="text1"/>
        </w:rPr>
        <w:t xml:space="preserve"> особами, </w:t>
      </w:r>
      <w:proofErr w:type="spellStart"/>
      <w:r w:rsidRPr="000A669D">
        <w:rPr>
          <w:color w:val="000000" w:themeColor="text1"/>
        </w:rPr>
        <w:t>зазначеними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пункті</w:t>
      </w:r>
      <w:proofErr w:type="spellEnd"/>
      <w:r w:rsidRPr="000A669D">
        <w:rPr>
          <w:color w:val="000000" w:themeColor="text1"/>
        </w:rPr>
        <w:t xml:space="preserve"> 8 </w:t>
      </w:r>
      <w:proofErr w:type="spellStart"/>
      <w:r w:rsidRPr="000A669D">
        <w:rPr>
          <w:color w:val="000000" w:themeColor="text1"/>
        </w:rPr>
        <w:t>цієї</w:t>
      </w:r>
      <w:proofErr w:type="spellEnd"/>
      <w:r w:rsidRPr="000A669D">
        <w:rPr>
          <w:color w:val="000000" w:themeColor="text1"/>
        </w:rPr>
        <w:t xml:space="preserve"> Методики)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за формулою: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</w:p>
    <w:p w:rsidR="00455F2B" w:rsidRPr="000A669D" w:rsidRDefault="00455F2B" w:rsidP="00455F2B">
      <w:pPr>
        <w:ind w:firstLine="567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Опл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Вп х Сор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</m:oMath>
      </m:oMathPara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>де: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Вп</w:t>
      </w:r>
      <w:proofErr w:type="spellEnd"/>
      <w:r w:rsidRPr="000A669D">
        <w:rPr>
          <w:color w:val="000000" w:themeColor="text1"/>
        </w:rPr>
        <w:t xml:space="preserve"> -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орендованого</w:t>
      </w:r>
      <w:proofErr w:type="spellEnd"/>
      <w:r w:rsidRPr="000A669D">
        <w:rPr>
          <w:color w:val="000000" w:themeColor="text1"/>
        </w:rPr>
        <w:t xml:space="preserve"> майна, </w:t>
      </w:r>
      <w:proofErr w:type="spellStart"/>
      <w:r w:rsidRPr="000A669D">
        <w:rPr>
          <w:color w:val="000000" w:themeColor="text1"/>
        </w:rPr>
        <w:t>визначена</w:t>
      </w:r>
      <w:proofErr w:type="spellEnd"/>
      <w:r w:rsidRPr="000A669D">
        <w:rPr>
          <w:color w:val="000000" w:themeColor="text1"/>
        </w:rPr>
        <w:t xml:space="preserve"> шляхом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незалежної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 (без ПДВ), </w:t>
      </w:r>
      <w:proofErr w:type="spellStart"/>
      <w:r w:rsidRPr="000A669D">
        <w:rPr>
          <w:color w:val="000000" w:themeColor="text1"/>
        </w:rPr>
        <w:t>грн</w:t>
      </w:r>
      <w:proofErr w:type="spellEnd"/>
      <w:r w:rsidRPr="000A669D">
        <w:rPr>
          <w:color w:val="000000" w:themeColor="text1"/>
        </w:rPr>
        <w:t xml:space="preserve">.; 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Сор -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ставка, </w:t>
      </w:r>
      <w:proofErr w:type="spellStart"/>
      <w:r w:rsidRPr="000A669D">
        <w:rPr>
          <w:color w:val="000000" w:themeColor="text1"/>
        </w:rPr>
        <w:t>визначена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згідно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додатком</w:t>
      </w:r>
      <w:proofErr w:type="spellEnd"/>
      <w:r w:rsidRPr="000A669D">
        <w:rPr>
          <w:color w:val="000000" w:themeColor="text1"/>
        </w:rPr>
        <w:t xml:space="preserve"> 1 </w:t>
      </w:r>
      <w:r w:rsidR="00B3494E" w:rsidRPr="000A669D">
        <w:rPr>
          <w:color w:val="000000" w:themeColor="text1"/>
          <w:lang w:val="uk-UA"/>
        </w:rPr>
        <w:t xml:space="preserve">до Методики </w:t>
      </w:r>
      <w:r w:rsidRPr="000A669D">
        <w:rPr>
          <w:color w:val="000000" w:themeColor="text1"/>
        </w:rPr>
        <w:t xml:space="preserve">(в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укладення</w:t>
      </w:r>
      <w:proofErr w:type="spellEnd"/>
      <w:r w:rsidRPr="000A669D">
        <w:rPr>
          <w:color w:val="000000" w:themeColor="text1"/>
        </w:rPr>
        <w:t xml:space="preserve"> договору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орендарем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</w:t>
      </w:r>
      <w:proofErr w:type="spellStart"/>
      <w:r w:rsidRPr="000A669D">
        <w:rPr>
          <w:color w:val="000000" w:themeColor="text1"/>
        </w:rPr>
        <w:t>статті</w:t>
      </w:r>
      <w:proofErr w:type="spellEnd"/>
      <w:r w:rsidRPr="000A669D">
        <w:rPr>
          <w:color w:val="000000" w:themeColor="text1"/>
        </w:rPr>
        <w:t xml:space="preserve"> 15 Закону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 xml:space="preserve"> "Про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державного та </w:t>
      </w:r>
      <w:proofErr w:type="spellStart"/>
      <w:r w:rsidRPr="000A669D">
        <w:rPr>
          <w:color w:val="000000" w:themeColor="text1"/>
        </w:rPr>
        <w:t>комунального</w:t>
      </w:r>
      <w:proofErr w:type="spellEnd"/>
      <w:r w:rsidRPr="000A669D">
        <w:rPr>
          <w:color w:val="000000" w:themeColor="text1"/>
        </w:rPr>
        <w:t xml:space="preserve"> майна"), </w:t>
      </w:r>
      <w:proofErr w:type="spellStart"/>
      <w:r w:rsidRPr="000A669D">
        <w:rPr>
          <w:color w:val="000000" w:themeColor="text1"/>
        </w:rPr>
        <w:t>або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додатком</w:t>
      </w:r>
      <w:proofErr w:type="spellEnd"/>
      <w:r w:rsidRPr="000A669D">
        <w:rPr>
          <w:color w:val="000000" w:themeColor="text1"/>
        </w:rPr>
        <w:t xml:space="preserve"> </w:t>
      </w:r>
      <w:r w:rsidR="00B3494E" w:rsidRPr="000A669D">
        <w:rPr>
          <w:color w:val="000000" w:themeColor="text1"/>
          <w:lang w:val="uk-UA"/>
        </w:rPr>
        <w:t xml:space="preserve">2 до </w:t>
      </w:r>
      <w:r w:rsidR="00896AFB" w:rsidRPr="000A669D">
        <w:rPr>
          <w:color w:val="000000" w:themeColor="text1"/>
          <w:lang w:val="uk-UA"/>
        </w:rPr>
        <w:t xml:space="preserve">цього </w:t>
      </w:r>
      <w:proofErr w:type="gramStart"/>
      <w:r w:rsidR="00B3494E" w:rsidRPr="000A669D">
        <w:rPr>
          <w:color w:val="000000" w:themeColor="text1"/>
          <w:lang w:val="uk-UA"/>
        </w:rPr>
        <w:t>р</w:t>
      </w:r>
      <w:proofErr w:type="gramEnd"/>
      <w:r w:rsidR="00B3494E" w:rsidRPr="000A669D">
        <w:rPr>
          <w:color w:val="000000" w:themeColor="text1"/>
          <w:lang w:val="uk-UA"/>
        </w:rPr>
        <w:t>ішення</w:t>
      </w:r>
      <w:r w:rsidRPr="000A669D">
        <w:rPr>
          <w:color w:val="000000" w:themeColor="text1"/>
        </w:rPr>
        <w:t xml:space="preserve"> (для </w:t>
      </w:r>
      <w:proofErr w:type="spellStart"/>
      <w:r w:rsidRPr="000A669D">
        <w:rPr>
          <w:color w:val="000000" w:themeColor="text1"/>
        </w:rPr>
        <w:t>договорів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строк </w:t>
      </w:r>
      <w:proofErr w:type="spellStart"/>
      <w:r w:rsidRPr="000A669D">
        <w:rPr>
          <w:color w:val="000000" w:themeColor="text1"/>
        </w:rPr>
        <w:t>дії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яких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продовжується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абзацу четвертого </w:t>
      </w:r>
      <w:proofErr w:type="spellStart"/>
      <w:r w:rsidRPr="000A669D">
        <w:rPr>
          <w:color w:val="000000" w:themeColor="text1"/>
        </w:rPr>
        <w:t>частини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сьомої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статті</w:t>
      </w:r>
      <w:proofErr w:type="spellEnd"/>
      <w:r w:rsidRPr="000A669D">
        <w:rPr>
          <w:color w:val="000000" w:themeColor="text1"/>
        </w:rPr>
        <w:t xml:space="preserve"> 18 Закону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 xml:space="preserve"> "Про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</w:t>
      </w:r>
      <w:proofErr w:type="gramStart"/>
      <w:r w:rsidRPr="000A669D">
        <w:rPr>
          <w:color w:val="000000" w:themeColor="text1"/>
        </w:rPr>
        <w:t>державного</w:t>
      </w:r>
      <w:proofErr w:type="gramEnd"/>
      <w:r w:rsidRPr="000A669D">
        <w:rPr>
          <w:color w:val="000000" w:themeColor="text1"/>
        </w:rPr>
        <w:t xml:space="preserve"> та </w:t>
      </w:r>
      <w:proofErr w:type="spellStart"/>
      <w:r w:rsidRPr="000A669D">
        <w:rPr>
          <w:color w:val="000000" w:themeColor="text1"/>
        </w:rPr>
        <w:t>комунального</w:t>
      </w:r>
      <w:proofErr w:type="spellEnd"/>
      <w:r w:rsidRPr="000A669D">
        <w:rPr>
          <w:color w:val="000000" w:themeColor="text1"/>
        </w:rPr>
        <w:t xml:space="preserve"> майна").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Розмі</w:t>
      </w:r>
      <w:proofErr w:type="gramStart"/>
      <w:r w:rsidRPr="000A669D">
        <w:rPr>
          <w:color w:val="000000" w:themeColor="text1"/>
        </w:rPr>
        <w:t>р</w:t>
      </w:r>
      <w:proofErr w:type="spellEnd"/>
      <w:proofErr w:type="gram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базовий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нерухомого</w:t>
      </w:r>
      <w:proofErr w:type="spellEnd"/>
      <w:r w:rsidRPr="000A669D">
        <w:rPr>
          <w:color w:val="000000" w:themeColor="text1"/>
        </w:rPr>
        <w:t xml:space="preserve"> майна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за формулою:</w:t>
      </w:r>
    </w:p>
    <w:p w:rsidR="00455F2B" w:rsidRPr="000A669D" w:rsidRDefault="00455F2B" w:rsidP="00455F2B">
      <w:pPr>
        <w:ind w:firstLine="567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Опл.міс.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Опл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12</m:t>
              </m:r>
            </m:den>
          </m:f>
        </m:oMath>
      </m:oMathPara>
    </w:p>
    <w:p w:rsidR="00455F2B" w:rsidRPr="000A669D" w:rsidRDefault="00455F2B" w:rsidP="005010CB">
      <w:pPr>
        <w:jc w:val="both"/>
        <w:rPr>
          <w:color w:val="000000" w:themeColor="text1"/>
        </w:rPr>
      </w:pPr>
      <w:r w:rsidRPr="000A669D">
        <w:rPr>
          <w:color w:val="000000" w:themeColor="text1"/>
        </w:rPr>
        <w:t>де: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 О </w:t>
      </w:r>
      <w:proofErr w:type="spellStart"/>
      <w:r w:rsidRPr="000A669D">
        <w:rPr>
          <w:color w:val="000000" w:themeColor="text1"/>
        </w:rPr>
        <w:t>пл</w:t>
      </w:r>
      <w:proofErr w:type="spellEnd"/>
      <w:r w:rsidRPr="000A669D">
        <w:rPr>
          <w:color w:val="000000" w:themeColor="text1"/>
        </w:rPr>
        <w:t xml:space="preserve"> -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плати, </w:t>
      </w:r>
      <w:proofErr w:type="spellStart"/>
      <w:r w:rsidRPr="000A669D">
        <w:rPr>
          <w:color w:val="000000" w:themeColor="text1"/>
        </w:rPr>
        <w:t>визначений</w:t>
      </w:r>
      <w:proofErr w:type="spell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цією</w:t>
      </w:r>
      <w:proofErr w:type="spellEnd"/>
      <w:r w:rsidRPr="000A669D">
        <w:rPr>
          <w:color w:val="000000" w:themeColor="text1"/>
        </w:rPr>
        <w:t xml:space="preserve"> Методикою, </w:t>
      </w:r>
      <w:proofErr w:type="spellStart"/>
      <w:r w:rsidRPr="000A669D">
        <w:rPr>
          <w:color w:val="000000" w:themeColor="text1"/>
        </w:rPr>
        <w:t>грн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lastRenderedPageBreak/>
        <w:t xml:space="preserve">У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якщо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між</w:t>
      </w:r>
      <w:proofErr w:type="spellEnd"/>
      <w:r w:rsidRPr="000A669D">
        <w:rPr>
          <w:color w:val="000000" w:themeColor="text1"/>
        </w:rPr>
        <w:t xml:space="preserve"> датою </w:t>
      </w:r>
      <w:proofErr w:type="spellStart"/>
      <w:r w:rsidRPr="000A669D">
        <w:rPr>
          <w:color w:val="000000" w:themeColor="text1"/>
        </w:rPr>
        <w:t>визначення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базовий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датою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ідписання</w:t>
      </w:r>
      <w:proofErr w:type="spellEnd"/>
      <w:r w:rsidRPr="000A669D">
        <w:rPr>
          <w:color w:val="000000" w:themeColor="text1"/>
        </w:rPr>
        <w:t xml:space="preserve"> акта </w:t>
      </w:r>
      <w:proofErr w:type="spellStart"/>
      <w:r w:rsidRPr="000A669D">
        <w:rPr>
          <w:color w:val="000000" w:themeColor="text1"/>
        </w:rPr>
        <w:t>приймання-передачі</w:t>
      </w:r>
      <w:proofErr w:type="spellEnd"/>
      <w:r w:rsidRPr="000A669D">
        <w:rPr>
          <w:color w:val="000000" w:themeColor="text1"/>
        </w:rPr>
        <w:t xml:space="preserve"> майна минуло </w:t>
      </w:r>
      <w:proofErr w:type="spellStart"/>
      <w:r w:rsidRPr="000A669D">
        <w:rPr>
          <w:color w:val="000000" w:themeColor="text1"/>
        </w:rPr>
        <w:t>більше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ніж</w:t>
      </w:r>
      <w:proofErr w:type="spellEnd"/>
      <w:r w:rsidRPr="000A669D">
        <w:rPr>
          <w:color w:val="000000" w:themeColor="text1"/>
        </w:rPr>
        <w:t xml:space="preserve"> один </w:t>
      </w:r>
      <w:proofErr w:type="spellStart"/>
      <w:r w:rsidRPr="000A669D">
        <w:rPr>
          <w:color w:val="000000" w:themeColor="text1"/>
        </w:rPr>
        <w:t>повний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календарний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, то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перший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встановлюється</w:t>
      </w:r>
      <w:proofErr w:type="spellEnd"/>
      <w:r w:rsidRPr="000A669D">
        <w:rPr>
          <w:color w:val="000000" w:themeColor="text1"/>
        </w:rPr>
        <w:t xml:space="preserve"> шляхом </w:t>
      </w:r>
      <w:proofErr w:type="spellStart"/>
      <w:r w:rsidRPr="000A669D">
        <w:rPr>
          <w:color w:val="000000" w:themeColor="text1"/>
        </w:rPr>
        <w:t>коригування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базовий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індекс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інфляції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місяцях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що</w:t>
      </w:r>
      <w:proofErr w:type="spellEnd"/>
      <w:r w:rsidRPr="000A669D">
        <w:rPr>
          <w:color w:val="000000" w:themeColor="text1"/>
        </w:rPr>
        <w:t xml:space="preserve"> минули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дати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базовий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4.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єдині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майнові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комплекси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їхні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відокремлені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структурні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підрозділи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за формулою:</w:t>
      </w:r>
    </w:p>
    <w:p w:rsidR="00455F2B" w:rsidRPr="000A669D" w:rsidRDefault="00455F2B" w:rsidP="00455F2B">
      <w:pPr>
        <w:ind w:firstLine="567"/>
        <w:rPr>
          <w:color w:val="000000" w:themeColor="text1"/>
        </w:rPr>
      </w:pPr>
    </w:p>
    <w:p w:rsidR="00455F2B" w:rsidRPr="000A669D" w:rsidRDefault="00455F2B" w:rsidP="00455F2B">
      <w:pPr>
        <w:ind w:firstLine="567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Опл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Воз+Внм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х Сор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</m:oMath>
      </m:oMathPara>
    </w:p>
    <w:p w:rsidR="00455F2B" w:rsidRPr="000A669D" w:rsidRDefault="00455F2B" w:rsidP="005010CB">
      <w:pPr>
        <w:jc w:val="both"/>
        <w:rPr>
          <w:color w:val="000000" w:themeColor="text1"/>
        </w:rPr>
      </w:pPr>
      <w:r w:rsidRPr="000A669D">
        <w:rPr>
          <w:color w:val="000000" w:themeColor="text1"/>
        </w:rPr>
        <w:t>де: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Опл</w:t>
      </w:r>
      <w:proofErr w:type="spellEnd"/>
      <w:r w:rsidRPr="000A669D">
        <w:rPr>
          <w:color w:val="000000" w:themeColor="text1"/>
        </w:rPr>
        <w:t xml:space="preserve"> -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плати, </w:t>
      </w:r>
      <w:proofErr w:type="spellStart"/>
      <w:r w:rsidRPr="000A669D">
        <w:rPr>
          <w:color w:val="000000" w:themeColor="text1"/>
        </w:rPr>
        <w:t>грн</w:t>
      </w:r>
      <w:proofErr w:type="spellEnd"/>
      <w:r w:rsidRPr="000A669D">
        <w:rPr>
          <w:color w:val="000000" w:themeColor="text1"/>
        </w:rPr>
        <w:t>;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Воз -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основних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засобі</w:t>
      </w:r>
      <w:proofErr w:type="gramStart"/>
      <w:r w:rsidRPr="000A669D">
        <w:rPr>
          <w:color w:val="000000" w:themeColor="text1"/>
        </w:rPr>
        <w:t>в</w:t>
      </w:r>
      <w:proofErr w:type="spellEnd"/>
      <w:proofErr w:type="gram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незалежною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оцінкою</w:t>
      </w:r>
      <w:proofErr w:type="spellEnd"/>
      <w:r w:rsidRPr="000A669D">
        <w:rPr>
          <w:color w:val="000000" w:themeColor="text1"/>
        </w:rPr>
        <w:t xml:space="preserve"> на час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об'єкта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(без ПДВ) </w:t>
      </w:r>
      <w:proofErr w:type="spellStart"/>
      <w:r w:rsidRPr="000A669D">
        <w:rPr>
          <w:color w:val="000000" w:themeColor="text1"/>
        </w:rPr>
        <w:t>грн</w:t>
      </w:r>
      <w:proofErr w:type="spellEnd"/>
      <w:r w:rsidRPr="000A669D">
        <w:rPr>
          <w:color w:val="000000" w:themeColor="text1"/>
        </w:rPr>
        <w:t>;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Внм</w:t>
      </w:r>
      <w:proofErr w:type="spellEnd"/>
      <w:r w:rsidRPr="000A669D">
        <w:rPr>
          <w:color w:val="000000" w:themeColor="text1"/>
        </w:rPr>
        <w:t xml:space="preserve"> -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нематеріальних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активі</w:t>
      </w:r>
      <w:proofErr w:type="gramStart"/>
      <w:r w:rsidRPr="000A669D">
        <w:rPr>
          <w:color w:val="000000" w:themeColor="text1"/>
        </w:rPr>
        <w:t>в</w:t>
      </w:r>
      <w:proofErr w:type="spellEnd"/>
      <w:proofErr w:type="gram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незалежною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оцінкою</w:t>
      </w:r>
      <w:proofErr w:type="spellEnd"/>
      <w:r w:rsidRPr="000A669D">
        <w:rPr>
          <w:color w:val="000000" w:themeColor="text1"/>
        </w:rPr>
        <w:t xml:space="preserve"> на час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об'єкта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(без ПДВ) </w:t>
      </w:r>
      <w:proofErr w:type="spellStart"/>
      <w:r w:rsidRPr="000A669D">
        <w:rPr>
          <w:color w:val="000000" w:themeColor="text1"/>
        </w:rPr>
        <w:t>грн</w:t>
      </w:r>
      <w:proofErr w:type="spellEnd"/>
      <w:r w:rsidRPr="000A669D">
        <w:rPr>
          <w:color w:val="000000" w:themeColor="text1"/>
        </w:rPr>
        <w:t>;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Сор</w:t>
      </w:r>
      <w:proofErr w:type="gramStart"/>
      <w:r w:rsidRPr="000A669D">
        <w:rPr>
          <w:color w:val="000000" w:themeColor="text1"/>
        </w:rPr>
        <w:t>.ц</w:t>
      </w:r>
      <w:proofErr w:type="spellEnd"/>
      <w:proofErr w:type="gramEnd"/>
      <w:r w:rsidRPr="000A669D">
        <w:rPr>
          <w:color w:val="000000" w:themeColor="text1"/>
        </w:rPr>
        <w:t xml:space="preserve"> -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ставка за </w:t>
      </w:r>
      <w:proofErr w:type="spellStart"/>
      <w:r w:rsidRPr="000A669D">
        <w:rPr>
          <w:color w:val="000000" w:themeColor="text1"/>
        </w:rPr>
        <w:t>використання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об'єкта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визначена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згідно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Додатком</w:t>
      </w:r>
      <w:proofErr w:type="spellEnd"/>
      <w:r w:rsidRPr="000A669D">
        <w:rPr>
          <w:color w:val="000000" w:themeColor="text1"/>
        </w:rPr>
        <w:t xml:space="preserve"> 2 до </w:t>
      </w:r>
      <w:proofErr w:type="spellStart"/>
      <w:r w:rsidRPr="000A669D">
        <w:rPr>
          <w:color w:val="000000" w:themeColor="text1"/>
        </w:rPr>
        <w:t>цієї</w:t>
      </w:r>
      <w:proofErr w:type="spellEnd"/>
      <w:r w:rsidRPr="000A669D">
        <w:rPr>
          <w:color w:val="000000" w:themeColor="text1"/>
        </w:rPr>
        <w:t xml:space="preserve"> Методики.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Розмі</w:t>
      </w:r>
      <w:proofErr w:type="gramStart"/>
      <w:r w:rsidRPr="000A669D">
        <w:rPr>
          <w:color w:val="000000" w:themeColor="text1"/>
        </w:rPr>
        <w:t>р</w:t>
      </w:r>
      <w:proofErr w:type="spellEnd"/>
      <w:proofErr w:type="gram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базовий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єдині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майнові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комплекси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їхні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відокремлені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структурні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підрозділи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за формулою: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</w:p>
    <w:p w:rsidR="00455F2B" w:rsidRPr="000A669D" w:rsidRDefault="00455F2B" w:rsidP="00455F2B">
      <w:pPr>
        <w:ind w:firstLine="567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О пл.міс.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Опл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12</m:t>
              </m:r>
            </m:den>
          </m:f>
        </m:oMath>
      </m:oMathPara>
    </w:p>
    <w:p w:rsidR="00455F2B" w:rsidRPr="000A669D" w:rsidRDefault="00455F2B" w:rsidP="005010CB">
      <w:pPr>
        <w:jc w:val="both"/>
        <w:rPr>
          <w:color w:val="000000" w:themeColor="text1"/>
        </w:rPr>
      </w:pPr>
      <w:r w:rsidRPr="000A669D">
        <w:rPr>
          <w:color w:val="000000" w:themeColor="text1"/>
        </w:rPr>
        <w:t>де: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О </w:t>
      </w:r>
      <w:proofErr w:type="spellStart"/>
      <w:r w:rsidRPr="000A669D">
        <w:rPr>
          <w:color w:val="000000" w:themeColor="text1"/>
        </w:rPr>
        <w:t>пл</w:t>
      </w:r>
      <w:proofErr w:type="spellEnd"/>
      <w:r w:rsidRPr="000A669D">
        <w:rPr>
          <w:color w:val="000000" w:themeColor="text1"/>
        </w:rPr>
        <w:t xml:space="preserve"> -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плати, </w:t>
      </w:r>
      <w:proofErr w:type="spellStart"/>
      <w:r w:rsidRPr="000A669D">
        <w:rPr>
          <w:color w:val="000000" w:themeColor="text1"/>
        </w:rPr>
        <w:t>визначений</w:t>
      </w:r>
      <w:proofErr w:type="spell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цією</w:t>
      </w:r>
      <w:proofErr w:type="spellEnd"/>
      <w:r w:rsidRPr="000A669D">
        <w:rPr>
          <w:color w:val="000000" w:themeColor="text1"/>
        </w:rPr>
        <w:t xml:space="preserve"> Методикою, </w:t>
      </w:r>
      <w:proofErr w:type="spellStart"/>
      <w:r w:rsidRPr="000A669D">
        <w:rPr>
          <w:color w:val="000000" w:themeColor="text1"/>
        </w:rPr>
        <w:t>грн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5.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об'єкта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встановлюється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івні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його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ринкової</w:t>
      </w:r>
      <w:proofErr w:type="spellEnd"/>
      <w:r w:rsidRPr="000A669D">
        <w:rPr>
          <w:color w:val="000000" w:themeColor="text1"/>
        </w:rPr>
        <w:t xml:space="preserve"> (</w:t>
      </w:r>
      <w:proofErr w:type="spellStart"/>
      <w:r w:rsidRPr="000A669D">
        <w:rPr>
          <w:color w:val="000000" w:themeColor="text1"/>
        </w:rPr>
        <w:t>оціночної</w:t>
      </w:r>
      <w:proofErr w:type="spellEnd"/>
      <w:r w:rsidRPr="000A669D">
        <w:rPr>
          <w:color w:val="000000" w:themeColor="text1"/>
        </w:rPr>
        <w:t xml:space="preserve">) </w:t>
      </w:r>
      <w:proofErr w:type="spellStart"/>
      <w:r w:rsidRPr="000A669D">
        <w:rPr>
          <w:color w:val="000000" w:themeColor="text1"/>
        </w:rPr>
        <w:t>вартості</w:t>
      </w:r>
      <w:proofErr w:type="spellEnd"/>
      <w:r w:rsidRPr="000A669D">
        <w:rPr>
          <w:color w:val="000000" w:themeColor="text1"/>
        </w:rPr>
        <w:t xml:space="preserve">, за </w:t>
      </w:r>
      <w:proofErr w:type="spellStart"/>
      <w:r w:rsidRPr="000A669D">
        <w:rPr>
          <w:color w:val="000000" w:themeColor="text1"/>
        </w:rPr>
        <w:t>умови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наявності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однієї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таких </w:t>
      </w:r>
      <w:proofErr w:type="spellStart"/>
      <w:r w:rsidRPr="000A669D">
        <w:rPr>
          <w:color w:val="000000" w:themeColor="text1"/>
        </w:rPr>
        <w:t>підстав</w:t>
      </w:r>
      <w:proofErr w:type="spellEnd"/>
      <w:r w:rsidRPr="000A669D">
        <w:rPr>
          <w:color w:val="000000" w:themeColor="text1"/>
        </w:rPr>
        <w:t>:</w:t>
      </w:r>
      <w:bookmarkStart w:id="0" w:name="n220"/>
      <w:bookmarkEnd w:id="0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об’єктом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єдиний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майновий</w:t>
      </w:r>
      <w:proofErr w:type="spellEnd"/>
      <w:r w:rsidRPr="000A669D">
        <w:rPr>
          <w:color w:val="000000" w:themeColor="text1"/>
        </w:rPr>
        <w:t xml:space="preserve"> комплекс;</w:t>
      </w:r>
      <w:bookmarkStart w:id="1" w:name="n221"/>
      <w:bookmarkEnd w:id="1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пропонується</w:t>
      </w:r>
      <w:proofErr w:type="spellEnd"/>
      <w:r w:rsidRPr="000A669D">
        <w:rPr>
          <w:color w:val="000000" w:themeColor="text1"/>
        </w:rPr>
        <w:t xml:space="preserve"> для </w:t>
      </w:r>
      <w:proofErr w:type="spellStart"/>
      <w:r w:rsidRPr="000A669D">
        <w:rPr>
          <w:color w:val="000000" w:themeColor="text1"/>
        </w:rPr>
        <w:t>передачі</w:t>
      </w:r>
      <w:proofErr w:type="spellEnd"/>
      <w:r w:rsidRPr="000A669D">
        <w:rPr>
          <w:color w:val="000000" w:themeColor="text1"/>
        </w:rPr>
        <w:t xml:space="preserve">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без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>;</w:t>
      </w:r>
      <w:bookmarkStart w:id="2" w:name="n222"/>
      <w:bookmarkEnd w:id="2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використовується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ідставі</w:t>
      </w:r>
      <w:proofErr w:type="spellEnd"/>
      <w:r w:rsidRPr="000A669D">
        <w:rPr>
          <w:color w:val="000000" w:themeColor="text1"/>
        </w:rPr>
        <w:t xml:space="preserve"> договору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укладеного</w:t>
      </w:r>
      <w:proofErr w:type="spellEnd"/>
      <w:r w:rsidRPr="000A669D">
        <w:rPr>
          <w:color w:val="000000" w:themeColor="text1"/>
        </w:rPr>
        <w:t xml:space="preserve"> без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або</w:t>
      </w:r>
      <w:proofErr w:type="spellEnd"/>
      <w:r w:rsidRPr="000A669D">
        <w:rPr>
          <w:color w:val="000000" w:themeColor="text1"/>
        </w:rPr>
        <w:t xml:space="preserve"> конкурсу,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орендар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бажає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продовжити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договір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новий</w:t>
      </w:r>
      <w:proofErr w:type="spellEnd"/>
      <w:r w:rsidRPr="000A669D">
        <w:rPr>
          <w:color w:val="000000" w:themeColor="text1"/>
        </w:rPr>
        <w:t xml:space="preserve"> строк.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bookmarkStart w:id="3" w:name="n223"/>
      <w:bookmarkEnd w:id="3"/>
      <w:proofErr w:type="spellStart"/>
      <w:r w:rsidRPr="000A669D">
        <w:rPr>
          <w:color w:val="000000" w:themeColor="text1"/>
        </w:rPr>
        <w:t>Ринкова</w:t>
      </w:r>
      <w:proofErr w:type="spellEnd"/>
      <w:r w:rsidRPr="000A669D">
        <w:rPr>
          <w:color w:val="000000" w:themeColor="text1"/>
        </w:rPr>
        <w:t xml:space="preserve"> (</w:t>
      </w:r>
      <w:proofErr w:type="spellStart"/>
      <w:r w:rsidRPr="000A669D">
        <w:rPr>
          <w:color w:val="000000" w:themeColor="text1"/>
        </w:rPr>
        <w:t>оціночна</w:t>
      </w:r>
      <w:proofErr w:type="spellEnd"/>
      <w:r w:rsidRPr="000A669D">
        <w:rPr>
          <w:color w:val="000000" w:themeColor="text1"/>
        </w:rPr>
        <w:t xml:space="preserve">)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для </w:t>
      </w:r>
      <w:proofErr w:type="spellStart"/>
      <w:r w:rsidRPr="000A669D">
        <w:rPr>
          <w:color w:val="000000" w:themeColor="text1"/>
        </w:rPr>
        <w:t>цілей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замовлення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балансоутримувача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крім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випадків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визначених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цим</w:t>
      </w:r>
      <w:proofErr w:type="spellEnd"/>
      <w:r w:rsidRPr="000A669D">
        <w:rPr>
          <w:color w:val="000000" w:themeColor="text1"/>
        </w:rPr>
        <w:t xml:space="preserve"> пунктом. 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proofErr w:type="spellStart"/>
      <w:r w:rsidRPr="000A669D">
        <w:rPr>
          <w:color w:val="000000" w:themeColor="text1"/>
        </w:rPr>
        <w:t>Орендар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визначений</w:t>
      </w:r>
      <w:proofErr w:type="spellEnd"/>
      <w:r w:rsidRPr="000A669D">
        <w:rPr>
          <w:color w:val="000000" w:themeColor="text1"/>
        </w:rPr>
        <w:t xml:space="preserve"> за результатами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або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орендар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якому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було</w:t>
      </w:r>
      <w:proofErr w:type="spellEnd"/>
      <w:r w:rsidRPr="000A669D">
        <w:rPr>
          <w:color w:val="000000" w:themeColor="text1"/>
        </w:rPr>
        <w:t xml:space="preserve"> передано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</w:t>
      </w:r>
      <w:proofErr w:type="spellEnd"/>
      <w:r w:rsidRPr="000A669D">
        <w:rPr>
          <w:color w:val="000000" w:themeColor="text1"/>
        </w:rPr>
        <w:t xml:space="preserve"> без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зобов’язаний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відшкодувати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балансоутримувачу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bookmarkStart w:id="4" w:name="n224"/>
      <w:bookmarkEnd w:id="4"/>
      <w:proofErr w:type="spellStart"/>
      <w:r w:rsidRPr="000A669D">
        <w:rPr>
          <w:color w:val="000000" w:themeColor="text1"/>
        </w:rPr>
        <w:t>Ринкова</w:t>
      </w:r>
      <w:proofErr w:type="spellEnd"/>
      <w:r w:rsidRPr="000A669D">
        <w:rPr>
          <w:color w:val="000000" w:themeColor="text1"/>
        </w:rPr>
        <w:t xml:space="preserve"> (</w:t>
      </w:r>
      <w:proofErr w:type="spellStart"/>
      <w:r w:rsidRPr="000A669D">
        <w:rPr>
          <w:color w:val="000000" w:themeColor="text1"/>
        </w:rPr>
        <w:t>оціночна</w:t>
      </w:r>
      <w:proofErr w:type="spellEnd"/>
      <w:r w:rsidRPr="000A669D">
        <w:rPr>
          <w:color w:val="000000" w:themeColor="text1"/>
        </w:rPr>
        <w:t xml:space="preserve">)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який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перебуває</w:t>
      </w:r>
      <w:proofErr w:type="spellEnd"/>
      <w:r w:rsidRPr="000A669D">
        <w:rPr>
          <w:color w:val="000000" w:themeColor="text1"/>
        </w:rPr>
        <w:t xml:space="preserve"> в </w:t>
      </w:r>
      <w:proofErr w:type="spellStart"/>
      <w:r w:rsidRPr="000A669D">
        <w:rPr>
          <w:color w:val="000000" w:themeColor="text1"/>
        </w:rPr>
        <w:t>оренді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ідставі</w:t>
      </w:r>
      <w:proofErr w:type="spellEnd"/>
      <w:r w:rsidRPr="000A669D">
        <w:rPr>
          <w:color w:val="000000" w:themeColor="text1"/>
        </w:rPr>
        <w:t xml:space="preserve"> договору, </w:t>
      </w:r>
      <w:proofErr w:type="spellStart"/>
      <w:r w:rsidRPr="000A669D">
        <w:rPr>
          <w:color w:val="000000" w:themeColor="text1"/>
        </w:rPr>
        <w:t>який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орендар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бажає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продовжити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новий</w:t>
      </w:r>
      <w:proofErr w:type="spellEnd"/>
      <w:r w:rsidRPr="000A669D">
        <w:rPr>
          <w:color w:val="000000" w:themeColor="text1"/>
        </w:rPr>
        <w:t xml:space="preserve"> строк без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випадках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передбачених</w:t>
      </w:r>
      <w:proofErr w:type="spellEnd"/>
      <w:r w:rsidRPr="000A669D">
        <w:rPr>
          <w:color w:val="000000" w:themeColor="text1"/>
        </w:rPr>
        <w:t xml:space="preserve"> Законом,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замовлення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орендаря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згідно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Порядком </w:t>
      </w:r>
      <w:proofErr w:type="spellStart"/>
      <w:r w:rsidRPr="000A669D">
        <w:rPr>
          <w:color w:val="000000" w:themeColor="text1"/>
        </w:rPr>
        <w:t>передачі</w:t>
      </w:r>
      <w:proofErr w:type="spellEnd"/>
      <w:r w:rsidRPr="000A669D">
        <w:rPr>
          <w:color w:val="000000" w:themeColor="text1"/>
        </w:rPr>
        <w:t xml:space="preserve"> майна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як особи, у </w:t>
      </w:r>
      <w:proofErr w:type="spellStart"/>
      <w:r w:rsidRPr="000A669D">
        <w:rPr>
          <w:color w:val="000000" w:themeColor="text1"/>
        </w:rPr>
        <w:t>якої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орендоване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майно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перебуває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законних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підставах</w:t>
      </w:r>
      <w:proofErr w:type="spellEnd"/>
      <w:r w:rsidRPr="000A669D">
        <w:rPr>
          <w:color w:val="000000" w:themeColor="text1"/>
        </w:rPr>
        <w:t xml:space="preserve">, без </w:t>
      </w:r>
      <w:proofErr w:type="spellStart"/>
      <w:r w:rsidRPr="000A669D">
        <w:rPr>
          <w:color w:val="000000" w:themeColor="text1"/>
        </w:rPr>
        <w:t>доручення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балансоутримувача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bookmarkStart w:id="5" w:name="n225"/>
      <w:bookmarkEnd w:id="5"/>
      <w:proofErr w:type="spellStart"/>
      <w:r w:rsidRPr="000A669D">
        <w:rPr>
          <w:color w:val="000000" w:themeColor="text1"/>
        </w:rPr>
        <w:t>Ринкова</w:t>
      </w:r>
      <w:proofErr w:type="spellEnd"/>
      <w:r w:rsidRPr="000A669D">
        <w:rPr>
          <w:color w:val="000000" w:themeColor="text1"/>
        </w:rPr>
        <w:t xml:space="preserve"> (</w:t>
      </w:r>
      <w:proofErr w:type="spellStart"/>
      <w:r w:rsidRPr="000A669D">
        <w:rPr>
          <w:color w:val="000000" w:themeColor="text1"/>
        </w:rPr>
        <w:t>оціночна</w:t>
      </w:r>
      <w:proofErr w:type="spellEnd"/>
      <w:r w:rsidRPr="000A669D">
        <w:rPr>
          <w:color w:val="000000" w:themeColor="text1"/>
        </w:rPr>
        <w:t xml:space="preserve">) </w:t>
      </w:r>
      <w:proofErr w:type="spellStart"/>
      <w:r w:rsidRPr="000A669D">
        <w:rPr>
          <w:color w:val="000000" w:themeColor="text1"/>
        </w:rPr>
        <w:t>вартість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Методики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 майна, </w:t>
      </w:r>
      <w:proofErr w:type="spellStart"/>
      <w:r w:rsidRPr="000A669D">
        <w:rPr>
          <w:color w:val="000000" w:themeColor="text1"/>
        </w:rPr>
        <w:t>затвердженої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Кабінетом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Міні</w:t>
      </w:r>
      <w:proofErr w:type="gramStart"/>
      <w:r w:rsidRPr="000A669D">
        <w:rPr>
          <w:color w:val="000000" w:themeColor="text1"/>
        </w:rPr>
        <w:t>стр</w:t>
      </w:r>
      <w:proofErr w:type="gramEnd"/>
      <w:r w:rsidRPr="000A669D">
        <w:rPr>
          <w:color w:val="000000" w:themeColor="text1"/>
        </w:rPr>
        <w:t>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6. </w:t>
      </w:r>
      <w:proofErr w:type="spellStart"/>
      <w:r w:rsidRPr="000A669D">
        <w:rPr>
          <w:color w:val="000000" w:themeColor="text1"/>
        </w:rPr>
        <w:t>Результати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незалежної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чинними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протягом</w:t>
      </w:r>
      <w:proofErr w:type="spellEnd"/>
      <w:r w:rsidRPr="000A669D">
        <w:rPr>
          <w:color w:val="000000" w:themeColor="text1"/>
        </w:rPr>
        <w:t xml:space="preserve"> 12 </w:t>
      </w:r>
      <w:proofErr w:type="spellStart"/>
      <w:r w:rsidRPr="000A669D">
        <w:rPr>
          <w:color w:val="000000" w:themeColor="text1"/>
        </w:rPr>
        <w:t>місяців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в</w:t>
      </w:r>
      <w:proofErr w:type="gramEnd"/>
      <w:r w:rsidRPr="000A669D">
        <w:rPr>
          <w:color w:val="000000" w:themeColor="text1"/>
        </w:rPr>
        <w:t>ід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дати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якщо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інший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термін</w:t>
      </w:r>
      <w:proofErr w:type="spellEnd"/>
      <w:r w:rsidRPr="000A669D">
        <w:rPr>
          <w:color w:val="000000" w:themeColor="text1"/>
        </w:rPr>
        <w:t xml:space="preserve"> не </w:t>
      </w:r>
      <w:proofErr w:type="spellStart"/>
      <w:r w:rsidRPr="000A669D">
        <w:rPr>
          <w:color w:val="000000" w:themeColor="text1"/>
        </w:rPr>
        <w:t>передбачено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звіті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незалежної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оцінки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7. </w:t>
      </w:r>
      <w:proofErr w:type="gramStart"/>
      <w:r w:rsidRPr="000A669D">
        <w:rPr>
          <w:color w:val="000000" w:themeColor="text1"/>
        </w:rPr>
        <w:t>До</w:t>
      </w:r>
      <w:proofErr w:type="gram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договор</w:t>
      </w:r>
      <w:proofErr w:type="gramEnd"/>
      <w:r w:rsidRPr="000A669D">
        <w:rPr>
          <w:color w:val="000000" w:themeColor="text1"/>
        </w:rPr>
        <w:t>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продовжуються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вперше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застосовуються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орендні</w:t>
      </w:r>
      <w:proofErr w:type="spellEnd"/>
      <w:r w:rsidRPr="000A669D">
        <w:rPr>
          <w:color w:val="000000" w:themeColor="text1"/>
        </w:rPr>
        <w:t xml:space="preserve"> ставки </w:t>
      </w:r>
      <w:proofErr w:type="spellStart"/>
      <w:r w:rsidRPr="000A669D">
        <w:rPr>
          <w:color w:val="000000" w:themeColor="text1"/>
        </w:rPr>
        <w:t>згідно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додатком</w:t>
      </w:r>
      <w:proofErr w:type="spellEnd"/>
      <w:r w:rsidRPr="000A669D">
        <w:rPr>
          <w:color w:val="000000" w:themeColor="text1"/>
        </w:rPr>
        <w:t xml:space="preserve"> 2 до </w:t>
      </w:r>
      <w:proofErr w:type="spellStart"/>
      <w:r w:rsidRPr="000A669D">
        <w:rPr>
          <w:color w:val="000000" w:themeColor="text1"/>
        </w:rPr>
        <w:t>цієї</w:t>
      </w:r>
      <w:proofErr w:type="spellEnd"/>
      <w:r w:rsidRPr="000A669D">
        <w:rPr>
          <w:color w:val="000000" w:themeColor="text1"/>
        </w:rPr>
        <w:t xml:space="preserve"> Методики.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У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надходження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кількох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заяв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одного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того ж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осіб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передбачених</w:t>
      </w:r>
      <w:proofErr w:type="spellEnd"/>
      <w:r w:rsidRPr="000A669D">
        <w:rPr>
          <w:color w:val="000000" w:themeColor="text1"/>
        </w:rPr>
        <w:t xml:space="preserve"> абзацами </w:t>
      </w:r>
      <w:proofErr w:type="spellStart"/>
      <w:r w:rsidRPr="000A669D">
        <w:rPr>
          <w:color w:val="000000" w:themeColor="text1"/>
        </w:rPr>
        <w:t>четвертим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дев’ятим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частини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другої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статті</w:t>
      </w:r>
      <w:proofErr w:type="spellEnd"/>
      <w:r w:rsidRPr="000A669D">
        <w:rPr>
          <w:color w:val="000000" w:themeColor="text1"/>
        </w:rPr>
        <w:t xml:space="preserve"> 15 Закону, </w:t>
      </w:r>
      <w:proofErr w:type="spellStart"/>
      <w:r w:rsidRPr="000A669D">
        <w:rPr>
          <w:color w:val="000000" w:themeColor="text1"/>
        </w:rPr>
        <w:t>крім</w:t>
      </w:r>
      <w:proofErr w:type="spellEnd"/>
      <w:r w:rsidRPr="000A669D">
        <w:rPr>
          <w:color w:val="000000" w:themeColor="text1"/>
        </w:rPr>
        <w:t xml:space="preserve"> тих, </w:t>
      </w:r>
      <w:proofErr w:type="spellStart"/>
      <w:r w:rsidRPr="000A669D">
        <w:rPr>
          <w:color w:val="000000" w:themeColor="text1"/>
        </w:rPr>
        <w:t>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державними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або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комунальними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ідприємствами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установами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організаціями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договір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укладається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особою, яка </w:t>
      </w:r>
      <w:proofErr w:type="spellStart"/>
      <w:r w:rsidRPr="000A669D">
        <w:rPr>
          <w:color w:val="000000" w:themeColor="text1"/>
        </w:rPr>
        <w:t>запропонувала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найвищий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плати. </w:t>
      </w:r>
    </w:p>
    <w:p w:rsidR="00455F2B" w:rsidRPr="000A669D" w:rsidRDefault="00455F2B" w:rsidP="00455F2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  <w:lang w:val="uk-UA"/>
        </w:rPr>
        <w:lastRenderedPageBreak/>
        <w:t>Розмір річної орендної плати у разі оренди іншого окремого індивідуально визначеного майна (крім транспортних засобів) встановлюється на рівні 12 відсотків вартості об’єкта оренди.</w:t>
      </w:r>
    </w:p>
    <w:p w:rsidR="00455F2B" w:rsidRPr="000A669D" w:rsidRDefault="00455F2B" w:rsidP="00455F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bookmarkStart w:id="6" w:name="n63"/>
      <w:bookmarkEnd w:id="6"/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у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транспортних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засобів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встановлюється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рівні</w:t>
      </w:r>
      <w:proofErr w:type="spellEnd"/>
      <w:r w:rsidRPr="000A669D">
        <w:rPr>
          <w:color w:val="000000" w:themeColor="text1"/>
        </w:rPr>
        <w:t xml:space="preserve"> 10 </w:t>
      </w:r>
      <w:proofErr w:type="spellStart"/>
      <w:r w:rsidRPr="000A669D">
        <w:rPr>
          <w:color w:val="000000" w:themeColor="text1"/>
        </w:rPr>
        <w:t>відсотків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вартості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bookmarkStart w:id="7" w:name="n64"/>
      <w:bookmarkEnd w:id="7"/>
      <w:r w:rsidRPr="000A669D">
        <w:rPr>
          <w:color w:val="000000" w:themeColor="text1"/>
        </w:rPr>
        <w:t xml:space="preserve">У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коли </w:t>
      </w:r>
      <w:proofErr w:type="spellStart"/>
      <w:r w:rsidRPr="000A669D">
        <w:rPr>
          <w:color w:val="000000" w:themeColor="text1"/>
        </w:rPr>
        <w:t>орендарем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є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суб’єкт</w:t>
      </w:r>
      <w:proofErr w:type="spellEnd"/>
      <w:r w:rsidRPr="000A669D">
        <w:rPr>
          <w:color w:val="000000" w:themeColor="text1"/>
        </w:rPr>
        <w:t xml:space="preserve"> малого </w:t>
      </w:r>
      <w:proofErr w:type="spellStart"/>
      <w:r w:rsidRPr="000A669D">
        <w:rPr>
          <w:color w:val="000000" w:themeColor="text1"/>
        </w:rPr>
        <w:t>підприємництва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розмір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іншого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окремого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індивідуально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визначеного</w:t>
      </w:r>
      <w:proofErr w:type="spellEnd"/>
      <w:r w:rsidRPr="000A669D">
        <w:rPr>
          <w:color w:val="000000" w:themeColor="text1"/>
        </w:rPr>
        <w:t xml:space="preserve"> майна, у тому </w:t>
      </w:r>
      <w:proofErr w:type="spellStart"/>
      <w:r w:rsidRPr="000A669D">
        <w:rPr>
          <w:color w:val="000000" w:themeColor="text1"/>
        </w:rPr>
        <w:t>числі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транспортних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засобів</w:t>
      </w:r>
      <w:proofErr w:type="spellEnd"/>
      <w:r w:rsidRPr="000A669D">
        <w:rPr>
          <w:color w:val="000000" w:themeColor="text1"/>
        </w:rPr>
        <w:t xml:space="preserve">, становить 7 </w:t>
      </w:r>
      <w:proofErr w:type="spellStart"/>
      <w:r w:rsidRPr="000A669D">
        <w:rPr>
          <w:color w:val="000000" w:themeColor="text1"/>
        </w:rPr>
        <w:t>відсотків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вартості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об’єкта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У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якщо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інше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окреме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індивідуально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визначене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майно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передається</w:t>
      </w:r>
      <w:proofErr w:type="spellEnd"/>
      <w:proofErr w:type="gramEnd"/>
      <w:r w:rsidRPr="000A669D">
        <w:rPr>
          <w:color w:val="000000" w:themeColor="text1"/>
        </w:rPr>
        <w:t xml:space="preserve"> в </w:t>
      </w:r>
      <w:proofErr w:type="spellStart"/>
      <w:r w:rsidRPr="000A669D">
        <w:rPr>
          <w:color w:val="000000" w:themeColor="text1"/>
        </w:rPr>
        <w:t>оренду</w:t>
      </w:r>
      <w:proofErr w:type="spellEnd"/>
      <w:r w:rsidRPr="000A669D">
        <w:rPr>
          <w:color w:val="000000" w:themeColor="text1"/>
        </w:rPr>
        <w:t xml:space="preserve"> за результатами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плата, </w:t>
      </w:r>
      <w:proofErr w:type="spellStart"/>
      <w:r w:rsidRPr="000A669D">
        <w:rPr>
          <w:color w:val="000000" w:themeColor="text1"/>
        </w:rPr>
        <w:t>розрахована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</w:t>
      </w:r>
      <w:proofErr w:type="spellStart"/>
      <w:r w:rsidRPr="000A669D">
        <w:rPr>
          <w:color w:val="000000" w:themeColor="text1"/>
        </w:rPr>
        <w:t>цього</w:t>
      </w:r>
      <w:proofErr w:type="spellEnd"/>
      <w:r w:rsidRPr="000A669D">
        <w:rPr>
          <w:color w:val="000000" w:themeColor="text1"/>
        </w:rPr>
        <w:t xml:space="preserve"> пункту Методики, </w:t>
      </w:r>
      <w:proofErr w:type="spellStart"/>
      <w:r w:rsidRPr="000A669D">
        <w:rPr>
          <w:color w:val="000000" w:themeColor="text1"/>
        </w:rPr>
        <w:t>застосовується</w:t>
      </w:r>
      <w:proofErr w:type="spellEnd"/>
      <w:r w:rsidRPr="000A669D">
        <w:rPr>
          <w:color w:val="000000" w:themeColor="text1"/>
        </w:rPr>
        <w:t xml:space="preserve"> як </w:t>
      </w:r>
      <w:proofErr w:type="spellStart"/>
      <w:r w:rsidRPr="000A669D">
        <w:rPr>
          <w:color w:val="000000" w:themeColor="text1"/>
        </w:rPr>
        <w:t>стартова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r w:rsidRPr="000A669D">
        <w:rPr>
          <w:color w:val="000000" w:themeColor="text1"/>
        </w:rPr>
        <w:t>першому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аукціоні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  <w:lang w:val="uk-UA"/>
        </w:rPr>
        <w:t xml:space="preserve">Для комунальних підприємств, які обслуговують об’єкти оренди (котельні), що мають важливе соціальне значення для громади, розмір річної орендної плати становить 0,1% балансової вартості об’єкта. 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В </w:t>
      </w:r>
      <w:proofErr w:type="spellStart"/>
      <w:r w:rsidRPr="000A669D">
        <w:rPr>
          <w:color w:val="000000" w:themeColor="text1"/>
        </w:rPr>
        <w:t>разі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продовження</w:t>
      </w:r>
      <w:proofErr w:type="spellEnd"/>
      <w:r w:rsidRPr="000A669D">
        <w:rPr>
          <w:color w:val="000000" w:themeColor="text1"/>
        </w:rPr>
        <w:t xml:space="preserve"> договору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місячна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 </w:t>
      </w:r>
      <w:proofErr w:type="gramStart"/>
      <w:r w:rsidRPr="000A669D">
        <w:rPr>
          <w:color w:val="000000" w:themeColor="text1"/>
        </w:rPr>
        <w:t>повинна</w:t>
      </w:r>
      <w:proofErr w:type="gramEnd"/>
      <w:r w:rsidRPr="000A669D">
        <w:rPr>
          <w:color w:val="000000" w:themeColor="text1"/>
        </w:rPr>
        <w:t xml:space="preserve"> бути не </w:t>
      </w:r>
      <w:proofErr w:type="spellStart"/>
      <w:r w:rsidRPr="000A669D">
        <w:rPr>
          <w:color w:val="000000" w:themeColor="text1"/>
        </w:rPr>
        <w:t>менша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ніж</w:t>
      </w:r>
      <w:proofErr w:type="spell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останній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. 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 у</w:t>
      </w:r>
      <w:bookmarkStart w:id="8" w:name="_GoBack"/>
      <w:bookmarkEnd w:id="8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розмірі</w:t>
      </w:r>
      <w:proofErr w:type="spellEnd"/>
      <w:r w:rsidRPr="000A669D">
        <w:rPr>
          <w:color w:val="000000" w:themeColor="text1"/>
        </w:rPr>
        <w:t xml:space="preserve"> 1 </w:t>
      </w:r>
      <w:proofErr w:type="spellStart"/>
      <w:r w:rsidRPr="000A669D">
        <w:rPr>
          <w:color w:val="000000" w:themeColor="text1"/>
        </w:rPr>
        <w:t>гривні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встановлюється</w:t>
      </w:r>
      <w:proofErr w:type="spellEnd"/>
      <w:r w:rsidRPr="000A669D">
        <w:rPr>
          <w:color w:val="000000" w:themeColor="text1"/>
        </w:rPr>
        <w:t xml:space="preserve"> таким </w:t>
      </w:r>
      <w:proofErr w:type="spellStart"/>
      <w:r w:rsidRPr="000A669D">
        <w:rPr>
          <w:color w:val="000000" w:themeColor="text1"/>
        </w:rPr>
        <w:t>орендарям</w:t>
      </w:r>
      <w:proofErr w:type="spellEnd"/>
      <w:r w:rsidRPr="000A669D">
        <w:rPr>
          <w:color w:val="000000" w:themeColor="text1"/>
        </w:rPr>
        <w:t>: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8.1. </w:t>
      </w:r>
      <w:r w:rsidR="00EC48A9" w:rsidRPr="000A669D">
        <w:rPr>
          <w:color w:val="000000" w:themeColor="text1"/>
          <w:lang w:val="uk-UA"/>
        </w:rPr>
        <w:t>Виконавчим органам</w:t>
      </w:r>
      <w:r w:rsidRPr="000A669D">
        <w:rPr>
          <w:color w:val="000000" w:themeColor="text1"/>
          <w:lang w:val="uk-UA"/>
        </w:rPr>
        <w:t xml:space="preserve"> Межівської селищної ради</w:t>
      </w:r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установам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організаціям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які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повністю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або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частково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фінансуються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бюджету </w:t>
      </w:r>
      <w:r w:rsidRPr="000A669D">
        <w:rPr>
          <w:color w:val="000000" w:themeColor="text1"/>
          <w:lang w:val="uk-UA"/>
        </w:rPr>
        <w:t>Межівської селищної</w:t>
      </w:r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територіальної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громади</w:t>
      </w:r>
      <w:proofErr w:type="spellEnd"/>
      <w:r w:rsidRPr="000A669D">
        <w:rPr>
          <w:color w:val="000000" w:themeColor="text1"/>
        </w:rPr>
        <w:t>.</w:t>
      </w:r>
    </w:p>
    <w:p w:rsidR="00A43E84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8.2. </w:t>
      </w:r>
      <w:r w:rsidR="00A43E84" w:rsidRPr="000A669D">
        <w:rPr>
          <w:rFonts w:eastAsia="Calibri"/>
          <w:color w:val="000000" w:themeColor="text1"/>
        </w:rPr>
        <w:t>Орган</w:t>
      </w:r>
      <w:proofErr w:type="spellStart"/>
      <w:r w:rsidR="00A43E84" w:rsidRPr="000A669D">
        <w:rPr>
          <w:rFonts w:eastAsia="Calibri"/>
          <w:color w:val="000000" w:themeColor="text1"/>
          <w:lang w:val="uk-UA"/>
        </w:rPr>
        <w:t>ам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державної</w:t>
      </w:r>
      <w:proofErr w:type="spellEnd"/>
      <w:r w:rsidR="00EC48A9" w:rsidRPr="000A669D">
        <w:rPr>
          <w:rFonts w:eastAsia="Calibri"/>
          <w:color w:val="000000" w:themeColor="text1"/>
          <w:lang w:val="uk-UA"/>
        </w:rPr>
        <w:t>, державної виконавчої</w:t>
      </w:r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влади</w:t>
      </w:r>
      <w:proofErr w:type="spellEnd"/>
      <w:r w:rsidR="00A43E84" w:rsidRPr="000A669D">
        <w:rPr>
          <w:rFonts w:eastAsia="Calibri"/>
          <w:color w:val="000000" w:themeColor="text1"/>
          <w:lang w:val="uk-UA"/>
        </w:rPr>
        <w:t>,</w:t>
      </w:r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діяльність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яких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повністю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або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частково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spellStart"/>
      <w:r w:rsidR="00A43E84" w:rsidRPr="000A669D">
        <w:rPr>
          <w:rFonts w:eastAsia="Calibri"/>
          <w:color w:val="000000" w:themeColor="text1"/>
        </w:rPr>
        <w:t>фінансується</w:t>
      </w:r>
      <w:proofErr w:type="spellEnd"/>
      <w:r w:rsidR="00A43E84" w:rsidRPr="000A669D">
        <w:rPr>
          <w:rFonts w:eastAsia="Calibri"/>
          <w:color w:val="000000" w:themeColor="text1"/>
        </w:rPr>
        <w:t xml:space="preserve"> за </w:t>
      </w:r>
      <w:proofErr w:type="spellStart"/>
      <w:r w:rsidR="00A43E84" w:rsidRPr="000A669D">
        <w:rPr>
          <w:rFonts w:eastAsia="Calibri"/>
          <w:color w:val="000000" w:themeColor="text1"/>
        </w:rPr>
        <w:t>рахунок</w:t>
      </w:r>
      <w:proofErr w:type="spellEnd"/>
      <w:r w:rsidR="00A43E84" w:rsidRPr="000A669D">
        <w:rPr>
          <w:rFonts w:eastAsia="Calibri"/>
          <w:color w:val="000000" w:themeColor="text1"/>
        </w:rPr>
        <w:t xml:space="preserve"> </w:t>
      </w:r>
      <w:proofErr w:type="gramStart"/>
      <w:r w:rsidR="00A43E84" w:rsidRPr="000A669D">
        <w:rPr>
          <w:rFonts w:eastAsia="Calibri"/>
          <w:color w:val="000000" w:themeColor="text1"/>
        </w:rPr>
        <w:t>державного</w:t>
      </w:r>
      <w:proofErr w:type="gramEnd"/>
      <w:r w:rsidR="00A43E84" w:rsidRPr="000A669D">
        <w:rPr>
          <w:rFonts w:eastAsia="Calibri"/>
          <w:color w:val="000000" w:themeColor="text1"/>
        </w:rPr>
        <w:t xml:space="preserve"> бюджет</w:t>
      </w:r>
      <w:r w:rsidR="00A43E84" w:rsidRPr="000A669D">
        <w:rPr>
          <w:rFonts w:eastAsia="Calibri"/>
          <w:color w:val="000000" w:themeColor="text1"/>
          <w:lang w:val="uk-UA"/>
        </w:rPr>
        <w:t>у.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8.3. </w:t>
      </w:r>
      <w:proofErr w:type="spellStart"/>
      <w:r w:rsidRPr="000A669D">
        <w:rPr>
          <w:color w:val="000000" w:themeColor="text1"/>
        </w:rPr>
        <w:t>Комунальним</w:t>
      </w:r>
      <w:proofErr w:type="spellEnd"/>
      <w:r w:rsidRPr="000A669D">
        <w:rPr>
          <w:color w:val="000000" w:themeColor="text1"/>
        </w:rPr>
        <w:t xml:space="preserve"> закладам </w:t>
      </w:r>
      <w:proofErr w:type="spellStart"/>
      <w:r w:rsidRPr="000A669D">
        <w:rPr>
          <w:color w:val="000000" w:themeColor="text1"/>
        </w:rPr>
        <w:t>охорони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здоров'я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комунальним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некомерційним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ідприємствам</w:t>
      </w:r>
      <w:proofErr w:type="spellEnd"/>
      <w:r w:rsidRPr="000A669D">
        <w:rPr>
          <w:color w:val="000000" w:themeColor="text1"/>
          <w:lang w:val="uk-UA"/>
        </w:rPr>
        <w:t xml:space="preserve"> охорони </w:t>
      </w:r>
      <w:proofErr w:type="spellStart"/>
      <w:r w:rsidRPr="000A669D">
        <w:rPr>
          <w:color w:val="000000" w:themeColor="text1"/>
        </w:rPr>
        <w:t>здоров'я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8.4. Закладам </w:t>
      </w:r>
      <w:proofErr w:type="spellStart"/>
      <w:r w:rsidRPr="000A669D">
        <w:rPr>
          <w:color w:val="000000" w:themeColor="text1"/>
        </w:rPr>
        <w:t>освіти</w:t>
      </w:r>
      <w:proofErr w:type="spellEnd"/>
      <w:r w:rsidRPr="000A669D">
        <w:rPr>
          <w:color w:val="000000" w:themeColor="text1"/>
          <w:lang w:val="uk-UA"/>
        </w:rPr>
        <w:t>, культури, фізичної культури і спорту</w:t>
      </w:r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комунальної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власност</w:t>
      </w:r>
      <w:proofErr w:type="gram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r w:rsidRPr="000A669D">
        <w:rPr>
          <w:color w:val="000000" w:themeColor="text1"/>
          <w:lang w:val="uk-UA"/>
        </w:rPr>
        <w:t>М</w:t>
      </w:r>
      <w:proofErr w:type="gramEnd"/>
      <w:r w:rsidRPr="000A669D">
        <w:rPr>
          <w:color w:val="000000" w:themeColor="text1"/>
          <w:lang w:val="uk-UA"/>
        </w:rPr>
        <w:t>ежівської селищної</w:t>
      </w:r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територіальної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громади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8.5. </w:t>
      </w:r>
      <w:r w:rsidRPr="000A669D">
        <w:rPr>
          <w:color w:val="000000" w:themeColor="text1"/>
          <w:lang w:val="uk-UA"/>
        </w:rPr>
        <w:t>Пенсійному Фонду та його територіальним органам</w:t>
      </w:r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8.6. </w:t>
      </w:r>
      <w:r w:rsidRPr="000A669D">
        <w:rPr>
          <w:rFonts w:eastAsia="Times New Roman"/>
          <w:color w:val="000000" w:themeColor="text1"/>
          <w:lang w:val="uk-UA" w:eastAsia="ru-RU"/>
        </w:rPr>
        <w:t>Акціонерному товариству "Укрпошта" (АТ "Укрпошта"), що є підприємством, що надає універсальні послуги поштового зв’язку у всіх населених пунктах на всій території України</w:t>
      </w:r>
      <w:r w:rsidRPr="000A669D">
        <w:rPr>
          <w:color w:val="000000" w:themeColor="text1"/>
          <w:lang w:val="uk-UA"/>
        </w:rPr>
        <w:t xml:space="preserve"> (на площі, що використовується для надання послуг поштового зв</w:t>
      </w:r>
      <w:r w:rsidRPr="000A669D">
        <w:rPr>
          <w:rFonts w:eastAsia="Times New Roman"/>
          <w:color w:val="000000" w:themeColor="text1"/>
          <w:lang w:val="uk-UA" w:eastAsia="ru-RU"/>
        </w:rPr>
        <w:t>’</w:t>
      </w:r>
      <w:r w:rsidRPr="000A669D">
        <w:rPr>
          <w:color w:val="000000" w:themeColor="text1"/>
          <w:lang w:val="uk-UA"/>
        </w:rPr>
        <w:t>язку).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  <w:lang w:val="uk-UA"/>
        </w:rPr>
        <w:t xml:space="preserve">8.7. Межівській районній громадській організації Федерація футболу Дніпропетровської області. 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8.8. </w:t>
      </w:r>
      <w:proofErr w:type="spellStart"/>
      <w:r w:rsidRPr="000A669D">
        <w:rPr>
          <w:color w:val="000000" w:themeColor="text1"/>
        </w:rPr>
        <w:t>Товариству</w:t>
      </w:r>
      <w:proofErr w:type="spellEnd"/>
      <w:r w:rsidRPr="000A669D">
        <w:rPr>
          <w:color w:val="000000" w:themeColor="text1"/>
        </w:rPr>
        <w:t xml:space="preserve"> Червоного </w:t>
      </w:r>
      <w:proofErr w:type="spellStart"/>
      <w:r w:rsidRPr="000A669D">
        <w:rPr>
          <w:color w:val="000000" w:themeColor="text1"/>
        </w:rPr>
        <w:t>Хреста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 xml:space="preserve"> та </w:t>
      </w:r>
      <w:proofErr w:type="spellStart"/>
      <w:proofErr w:type="gramStart"/>
      <w:r w:rsidRPr="000A669D">
        <w:rPr>
          <w:color w:val="000000" w:themeColor="text1"/>
        </w:rPr>
        <w:t>його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</w:t>
      </w:r>
      <w:proofErr w:type="gramEnd"/>
      <w:r w:rsidRPr="000A669D">
        <w:rPr>
          <w:color w:val="000000" w:themeColor="text1"/>
        </w:rPr>
        <w:t>ісцевим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організаціям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8.9. Особам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інвалідністю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</w:t>
      </w:r>
      <w:proofErr w:type="spellEnd"/>
      <w:r w:rsidRPr="000A669D">
        <w:rPr>
          <w:color w:val="000000" w:themeColor="text1"/>
        </w:rPr>
        <w:t xml:space="preserve"> метою </w:t>
      </w:r>
      <w:proofErr w:type="spellStart"/>
      <w:r w:rsidRPr="000A669D">
        <w:rPr>
          <w:color w:val="000000" w:themeColor="text1"/>
        </w:rPr>
        <w:t>використання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ід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гаражі</w:t>
      </w:r>
      <w:proofErr w:type="spellEnd"/>
      <w:r w:rsidRPr="000A669D">
        <w:rPr>
          <w:color w:val="000000" w:themeColor="text1"/>
        </w:rPr>
        <w:t xml:space="preserve"> для </w:t>
      </w:r>
      <w:proofErr w:type="spellStart"/>
      <w:r w:rsidRPr="000A669D">
        <w:rPr>
          <w:color w:val="000000" w:themeColor="text1"/>
        </w:rPr>
        <w:t>спеціальних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засобів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пересування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8.10. </w:t>
      </w:r>
      <w:r w:rsidRPr="000A669D">
        <w:rPr>
          <w:color w:val="000000" w:themeColor="text1"/>
          <w:lang w:val="uk-UA"/>
        </w:rPr>
        <w:t>Товариству з обмеженою відповідальністю «Межівський меридіан»</w:t>
      </w:r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8.11. </w:t>
      </w:r>
      <w:proofErr w:type="spellStart"/>
      <w:proofErr w:type="gramStart"/>
      <w:r w:rsidRPr="000A669D">
        <w:rPr>
          <w:color w:val="000000" w:themeColor="text1"/>
        </w:rPr>
        <w:t>Рел</w:t>
      </w:r>
      <w:proofErr w:type="gramEnd"/>
      <w:r w:rsidRPr="000A669D">
        <w:rPr>
          <w:color w:val="000000" w:themeColor="text1"/>
        </w:rPr>
        <w:t>ігійним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організаціям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всіх</w:t>
      </w:r>
      <w:proofErr w:type="spellEnd"/>
      <w:r w:rsidRPr="000A669D">
        <w:rPr>
          <w:color w:val="000000" w:themeColor="text1"/>
        </w:rPr>
        <w:t xml:space="preserve"> форм </w:t>
      </w:r>
      <w:proofErr w:type="spellStart"/>
      <w:r w:rsidRPr="000A669D">
        <w:rPr>
          <w:color w:val="000000" w:themeColor="text1"/>
        </w:rPr>
        <w:t>власності</w:t>
      </w:r>
      <w:proofErr w:type="spellEnd"/>
      <w:r w:rsidRPr="000A669D">
        <w:rPr>
          <w:color w:val="000000" w:themeColor="text1"/>
        </w:rPr>
        <w:t xml:space="preserve"> для </w:t>
      </w:r>
      <w:proofErr w:type="spellStart"/>
      <w:r w:rsidRPr="000A669D">
        <w:rPr>
          <w:color w:val="000000" w:themeColor="text1"/>
        </w:rPr>
        <w:t>забезпечення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Богослужінь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релігійних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обрядів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церемоній</w:t>
      </w:r>
      <w:proofErr w:type="spellEnd"/>
      <w:r w:rsidRPr="000A669D">
        <w:rPr>
          <w:color w:val="000000" w:themeColor="text1"/>
        </w:rPr>
        <w:t xml:space="preserve"> та </w:t>
      </w:r>
      <w:proofErr w:type="spellStart"/>
      <w:r w:rsidRPr="000A669D">
        <w:rPr>
          <w:color w:val="000000" w:themeColor="text1"/>
        </w:rPr>
        <w:t>надання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освітніх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соціальних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послуг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8.12. </w:t>
      </w:r>
      <w:proofErr w:type="spellStart"/>
      <w:r w:rsidRPr="000A669D">
        <w:rPr>
          <w:color w:val="000000" w:themeColor="text1"/>
        </w:rPr>
        <w:t>Комунальним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підприємствам</w:t>
      </w:r>
      <w:proofErr w:type="spellEnd"/>
      <w:proofErr w:type="gramStart"/>
      <w:r w:rsidRPr="000A669D">
        <w:rPr>
          <w:color w:val="000000" w:themeColor="text1"/>
        </w:rPr>
        <w:t xml:space="preserve"> </w:t>
      </w:r>
      <w:r w:rsidRPr="000A669D">
        <w:rPr>
          <w:color w:val="000000" w:themeColor="text1"/>
          <w:lang w:val="uk-UA"/>
        </w:rPr>
        <w:t>М</w:t>
      </w:r>
      <w:proofErr w:type="gramEnd"/>
      <w:r w:rsidRPr="000A669D">
        <w:rPr>
          <w:color w:val="000000" w:themeColor="text1"/>
          <w:lang w:val="uk-UA"/>
        </w:rPr>
        <w:t>ежівської селищної</w:t>
      </w:r>
      <w:r w:rsidRPr="000A669D">
        <w:rPr>
          <w:color w:val="000000" w:themeColor="text1"/>
        </w:rPr>
        <w:t xml:space="preserve"> ради (при </w:t>
      </w:r>
      <w:proofErr w:type="spellStart"/>
      <w:r w:rsidRPr="000A669D">
        <w:rPr>
          <w:color w:val="000000" w:themeColor="text1"/>
        </w:rPr>
        <w:t>продовженні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діючих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договорів</w:t>
      </w:r>
      <w:proofErr w:type="spellEnd"/>
      <w:r w:rsidRPr="000A669D">
        <w:rPr>
          <w:color w:val="000000" w:themeColor="text1"/>
        </w:rPr>
        <w:t>).</w:t>
      </w:r>
      <w:r w:rsidRPr="000A669D">
        <w:rPr>
          <w:color w:val="000000" w:themeColor="text1"/>
          <w:lang w:val="uk-UA"/>
        </w:rPr>
        <w:t xml:space="preserve"> </w:t>
      </w:r>
    </w:p>
    <w:p w:rsidR="00A43E84" w:rsidRPr="000A669D" w:rsidRDefault="00455F2B" w:rsidP="00A43E84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  <w:lang w:val="uk-UA"/>
        </w:rPr>
        <w:t xml:space="preserve">8.13. </w:t>
      </w:r>
      <w:r w:rsidR="00A43E84" w:rsidRPr="000A669D">
        <w:rPr>
          <w:color w:val="000000" w:themeColor="text1"/>
        </w:rPr>
        <w:t xml:space="preserve">Музеям, </w:t>
      </w:r>
      <w:proofErr w:type="spellStart"/>
      <w:r w:rsidR="00A43E84" w:rsidRPr="000A669D">
        <w:rPr>
          <w:color w:val="000000" w:themeColor="text1"/>
        </w:rPr>
        <w:t>які</w:t>
      </w:r>
      <w:proofErr w:type="spellEnd"/>
      <w:r w:rsidR="00A43E84" w:rsidRPr="000A669D">
        <w:rPr>
          <w:color w:val="000000" w:themeColor="text1"/>
        </w:rPr>
        <w:t xml:space="preserve"> </w:t>
      </w:r>
      <w:proofErr w:type="spellStart"/>
      <w:r w:rsidR="00A43E84" w:rsidRPr="000A669D">
        <w:rPr>
          <w:color w:val="000000" w:themeColor="text1"/>
        </w:rPr>
        <w:t>утримуються</w:t>
      </w:r>
      <w:proofErr w:type="spellEnd"/>
      <w:r w:rsidR="00A43E84" w:rsidRPr="000A669D">
        <w:rPr>
          <w:color w:val="000000" w:themeColor="text1"/>
        </w:rPr>
        <w:t xml:space="preserve"> за </w:t>
      </w:r>
      <w:proofErr w:type="spellStart"/>
      <w:r w:rsidR="00A43E84" w:rsidRPr="000A669D">
        <w:rPr>
          <w:color w:val="000000" w:themeColor="text1"/>
        </w:rPr>
        <w:t>рахунок</w:t>
      </w:r>
      <w:proofErr w:type="spellEnd"/>
      <w:r w:rsidR="00A43E84" w:rsidRPr="000A669D">
        <w:rPr>
          <w:color w:val="000000" w:themeColor="text1"/>
        </w:rPr>
        <w:t xml:space="preserve"> </w:t>
      </w:r>
      <w:proofErr w:type="gramStart"/>
      <w:r w:rsidR="00A43E84" w:rsidRPr="000A669D">
        <w:rPr>
          <w:color w:val="000000" w:themeColor="text1"/>
        </w:rPr>
        <w:t>державного</w:t>
      </w:r>
      <w:proofErr w:type="gramEnd"/>
      <w:r w:rsidR="00A43E84" w:rsidRPr="000A669D">
        <w:rPr>
          <w:color w:val="000000" w:themeColor="text1"/>
        </w:rPr>
        <w:t xml:space="preserve"> та </w:t>
      </w:r>
      <w:proofErr w:type="spellStart"/>
      <w:r w:rsidR="00A43E84" w:rsidRPr="000A669D">
        <w:rPr>
          <w:color w:val="000000" w:themeColor="text1"/>
        </w:rPr>
        <w:t>місцевого</w:t>
      </w:r>
      <w:proofErr w:type="spellEnd"/>
      <w:r w:rsidR="00A43E84" w:rsidRPr="000A669D">
        <w:rPr>
          <w:color w:val="000000" w:themeColor="text1"/>
        </w:rPr>
        <w:t xml:space="preserve"> </w:t>
      </w:r>
      <w:proofErr w:type="spellStart"/>
      <w:r w:rsidR="00A43E84" w:rsidRPr="000A669D">
        <w:rPr>
          <w:color w:val="000000" w:themeColor="text1"/>
        </w:rPr>
        <w:t>бюджетів</w:t>
      </w:r>
      <w:proofErr w:type="spellEnd"/>
      <w:r w:rsidR="00A43E84"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</w:rPr>
        <w:t xml:space="preserve">9. </w:t>
      </w:r>
      <w:proofErr w:type="spellStart"/>
      <w:r w:rsidRPr="000A669D">
        <w:rPr>
          <w:color w:val="000000" w:themeColor="text1"/>
        </w:rPr>
        <w:t>Якщо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 </w:t>
      </w:r>
      <w:proofErr w:type="spellStart"/>
      <w:r w:rsidRPr="000A669D">
        <w:rPr>
          <w:color w:val="000000" w:themeColor="text1"/>
        </w:rPr>
        <w:t>визначена</w:t>
      </w:r>
      <w:proofErr w:type="spellEnd"/>
      <w:r w:rsidRPr="000A669D">
        <w:rPr>
          <w:color w:val="000000" w:themeColor="text1"/>
        </w:rPr>
        <w:t xml:space="preserve"> за </w:t>
      </w:r>
      <w:proofErr w:type="spellStart"/>
      <w:r w:rsidRPr="000A669D">
        <w:rPr>
          <w:color w:val="000000" w:themeColor="text1"/>
        </w:rPr>
        <w:t>наслідками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проведення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аукціону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 за </w:t>
      </w:r>
      <w:proofErr w:type="spellStart"/>
      <w:r w:rsidRPr="000A669D">
        <w:rPr>
          <w:color w:val="000000" w:themeColor="text1"/>
        </w:rPr>
        <w:t>січень-грудень</w:t>
      </w:r>
      <w:proofErr w:type="spellEnd"/>
      <w:r w:rsidRPr="000A669D">
        <w:rPr>
          <w:color w:val="000000" w:themeColor="text1"/>
        </w:rPr>
        <w:t xml:space="preserve"> року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наступного</w:t>
      </w:r>
      <w:proofErr w:type="spellEnd"/>
      <w:r w:rsidRPr="000A669D">
        <w:rPr>
          <w:color w:val="000000" w:themeColor="text1"/>
        </w:rPr>
        <w:t xml:space="preserve"> за роком, на </w:t>
      </w:r>
      <w:proofErr w:type="spellStart"/>
      <w:r w:rsidRPr="000A669D">
        <w:rPr>
          <w:color w:val="000000" w:themeColor="text1"/>
        </w:rPr>
        <w:t>який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припадає</w:t>
      </w:r>
      <w:proofErr w:type="spellEnd"/>
      <w:r w:rsidRPr="000A669D">
        <w:rPr>
          <w:color w:val="000000" w:themeColor="text1"/>
        </w:rPr>
        <w:t xml:space="preserve"> перший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шляхом </w:t>
      </w:r>
      <w:proofErr w:type="spellStart"/>
      <w:r w:rsidRPr="000A669D">
        <w:rPr>
          <w:color w:val="000000" w:themeColor="text1"/>
        </w:rPr>
        <w:t>коригування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за перший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на </w:t>
      </w:r>
      <w:proofErr w:type="spellStart"/>
      <w:proofErr w:type="gramStart"/>
      <w:r w:rsidRPr="000A669D">
        <w:rPr>
          <w:color w:val="000000" w:themeColor="text1"/>
        </w:rPr>
        <w:t>р</w:t>
      </w:r>
      <w:proofErr w:type="gramEnd"/>
      <w:r w:rsidRPr="000A669D">
        <w:rPr>
          <w:color w:val="000000" w:themeColor="text1"/>
        </w:rPr>
        <w:t>ічний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індекс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інфляції</w:t>
      </w:r>
      <w:proofErr w:type="spellEnd"/>
      <w:r w:rsidRPr="000A669D">
        <w:rPr>
          <w:color w:val="000000" w:themeColor="text1"/>
        </w:rPr>
        <w:t xml:space="preserve"> року, на </w:t>
      </w:r>
      <w:proofErr w:type="spellStart"/>
      <w:r w:rsidRPr="000A669D">
        <w:rPr>
          <w:color w:val="000000" w:themeColor="text1"/>
        </w:rPr>
        <w:t>який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припадає</w:t>
      </w:r>
      <w:proofErr w:type="spellEnd"/>
      <w:r w:rsidRPr="000A669D">
        <w:rPr>
          <w:color w:val="000000" w:themeColor="text1"/>
        </w:rPr>
        <w:t xml:space="preserve"> перший </w:t>
      </w:r>
      <w:proofErr w:type="spellStart"/>
      <w:r w:rsidRPr="000A669D">
        <w:rPr>
          <w:color w:val="000000" w:themeColor="text1"/>
        </w:rPr>
        <w:t>місяць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. </w:t>
      </w:r>
      <w:proofErr w:type="spellStart"/>
      <w:proofErr w:type="gramStart"/>
      <w:r w:rsidRPr="000A669D">
        <w:rPr>
          <w:color w:val="000000" w:themeColor="text1"/>
        </w:rPr>
        <w:t>Орендна</w:t>
      </w:r>
      <w:proofErr w:type="spellEnd"/>
      <w:r w:rsidRPr="000A669D">
        <w:rPr>
          <w:color w:val="000000" w:themeColor="text1"/>
        </w:rPr>
        <w:t xml:space="preserve"> плата за </w:t>
      </w:r>
      <w:proofErr w:type="spellStart"/>
      <w:r w:rsidRPr="000A669D">
        <w:rPr>
          <w:color w:val="000000" w:themeColor="text1"/>
        </w:rPr>
        <w:t>січень-грудень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третього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</w:t>
      </w:r>
      <w:proofErr w:type="spellEnd"/>
      <w:r w:rsidRPr="000A669D">
        <w:rPr>
          <w:color w:val="000000" w:themeColor="text1"/>
        </w:rPr>
        <w:t xml:space="preserve"> кожного </w:t>
      </w:r>
      <w:proofErr w:type="spellStart"/>
      <w:r w:rsidRPr="000A669D">
        <w:rPr>
          <w:color w:val="000000" w:themeColor="text1"/>
        </w:rPr>
        <w:t>наступного</w:t>
      </w:r>
      <w:proofErr w:type="spellEnd"/>
      <w:r w:rsidRPr="000A669D">
        <w:rPr>
          <w:color w:val="000000" w:themeColor="text1"/>
        </w:rPr>
        <w:t xml:space="preserve"> календарного року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визначається</w:t>
      </w:r>
      <w:proofErr w:type="spellEnd"/>
      <w:r w:rsidRPr="000A669D">
        <w:rPr>
          <w:color w:val="000000" w:themeColor="text1"/>
        </w:rPr>
        <w:t xml:space="preserve"> шляхом </w:t>
      </w:r>
      <w:proofErr w:type="spellStart"/>
      <w:r w:rsidRPr="000A669D">
        <w:rPr>
          <w:color w:val="000000" w:themeColor="text1"/>
        </w:rPr>
        <w:t>коригування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місячної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плати, </w:t>
      </w:r>
      <w:proofErr w:type="spellStart"/>
      <w:r w:rsidRPr="000A669D">
        <w:rPr>
          <w:color w:val="000000" w:themeColor="text1"/>
        </w:rPr>
        <w:t>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сплачувалась</w:t>
      </w:r>
      <w:proofErr w:type="spellEnd"/>
      <w:r w:rsidRPr="000A669D">
        <w:rPr>
          <w:color w:val="000000" w:themeColor="text1"/>
        </w:rPr>
        <w:t xml:space="preserve"> у </w:t>
      </w:r>
      <w:proofErr w:type="spellStart"/>
      <w:r w:rsidRPr="000A669D">
        <w:rPr>
          <w:color w:val="000000" w:themeColor="text1"/>
        </w:rPr>
        <w:t>попередньому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році</w:t>
      </w:r>
      <w:proofErr w:type="spellEnd"/>
      <w:r w:rsidRPr="000A669D">
        <w:rPr>
          <w:color w:val="000000" w:themeColor="text1"/>
        </w:rPr>
        <w:t xml:space="preserve">, на </w:t>
      </w:r>
      <w:proofErr w:type="spellStart"/>
      <w:r w:rsidRPr="000A669D">
        <w:rPr>
          <w:color w:val="000000" w:themeColor="text1"/>
        </w:rPr>
        <w:t>середньорічний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індекс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інфляції</w:t>
      </w:r>
      <w:proofErr w:type="spellEnd"/>
      <w:r w:rsidRPr="000A669D">
        <w:rPr>
          <w:color w:val="000000" w:themeColor="text1"/>
        </w:rPr>
        <w:t xml:space="preserve"> такого року.</w:t>
      </w:r>
      <w:proofErr w:type="gramEnd"/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proofErr w:type="spellStart"/>
      <w:r w:rsidRPr="000A669D">
        <w:rPr>
          <w:color w:val="000000" w:themeColor="text1"/>
          <w:shd w:val="clear" w:color="auto" w:fill="FFFFFF"/>
        </w:rPr>
        <w:t>Орендна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плата, </w:t>
      </w:r>
      <w:proofErr w:type="spellStart"/>
      <w:r w:rsidRPr="000A669D">
        <w:rPr>
          <w:color w:val="000000" w:themeColor="text1"/>
          <w:shd w:val="clear" w:color="auto" w:fill="FFFFFF"/>
        </w:rPr>
        <w:t>встановлена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</w:t>
      </w:r>
      <w:proofErr w:type="spellStart"/>
      <w:r w:rsidRPr="000A669D">
        <w:rPr>
          <w:color w:val="000000" w:themeColor="text1"/>
          <w:shd w:val="clear" w:color="auto" w:fill="FFFFFF"/>
        </w:rPr>
        <w:t>відповідно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до</w:t>
      </w:r>
      <w:r w:rsidRPr="000A669D">
        <w:rPr>
          <w:color w:val="000000" w:themeColor="text1"/>
          <w:shd w:val="clear" w:color="auto" w:fill="FFFFFF"/>
          <w:lang w:val="uk-UA"/>
        </w:rPr>
        <w:t xml:space="preserve"> </w:t>
      </w:r>
      <w:hyperlink r:id="rId6" w:anchor="n49" w:history="1">
        <w:r w:rsidRPr="000A669D">
          <w:rPr>
            <w:rStyle w:val="a3"/>
            <w:color w:val="000000" w:themeColor="text1"/>
            <w:u w:val="none"/>
            <w:shd w:val="clear" w:color="auto" w:fill="FFFFFF"/>
          </w:rPr>
          <w:t xml:space="preserve">пункту </w:t>
        </w:r>
      </w:hyperlink>
      <w:r w:rsidRPr="000A669D">
        <w:rPr>
          <w:color w:val="000000" w:themeColor="text1"/>
          <w:lang w:val="uk-UA"/>
        </w:rPr>
        <w:t xml:space="preserve">8 </w:t>
      </w:r>
      <w:proofErr w:type="spellStart"/>
      <w:r w:rsidRPr="000A669D">
        <w:rPr>
          <w:color w:val="000000" w:themeColor="text1"/>
          <w:shd w:val="clear" w:color="auto" w:fill="FFFFFF"/>
        </w:rPr>
        <w:t>цієї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Методики, не </w:t>
      </w:r>
      <w:proofErr w:type="spellStart"/>
      <w:proofErr w:type="gramStart"/>
      <w:r w:rsidRPr="000A669D">
        <w:rPr>
          <w:color w:val="000000" w:themeColor="text1"/>
          <w:shd w:val="clear" w:color="auto" w:fill="FFFFFF"/>
        </w:rPr>
        <w:t>п</w:t>
      </w:r>
      <w:proofErr w:type="gramEnd"/>
      <w:r w:rsidRPr="000A669D">
        <w:rPr>
          <w:color w:val="000000" w:themeColor="text1"/>
          <w:shd w:val="clear" w:color="auto" w:fill="FFFFFF"/>
        </w:rPr>
        <w:t>ідлягає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</w:t>
      </w:r>
      <w:proofErr w:type="spellStart"/>
      <w:r w:rsidRPr="000A669D">
        <w:rPr>
          <w:color w:val="000000" w:themeColor="text1"/>
          <w:shd w:val="clear" w:color="auto" w:fill="FFFFFF"/>
        </w:rPr>
        <w:t>коригуванню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на </w:t>
      </w:r>
      <w:proofErr w:type="spellStart"/>
      <w:r w:rsidRPr="000A669D">
        <w:rPr>
          <w:color w:val="000000" w:themeColor="text1"/>
          <w:shd w:val="clear" w:color="auto" w:fill="FFFFFF"/>
        </w:rPr>
        <w:t>індекс</w:t>
      </w:r>
      <w:proofErr w:type="spellEnd"/>
      <w:r w:rsidRPr="000A669D">
        <w:rPr>
          <w:color w:val="000000" w:themeColor="text1"/>
          <w:shd w:val="clear" w:color="auto" w:fill="FFFFFF"/>
        </w:rPr>
        <w:t xml:space="preserve"> </w:t>
      </w:r>
      <w:proofErr w:type="spellStart"/>
      <w:r w:rsidRPr="000A669D">
        <w:rPr>
          <w:color w:val="000000" w:themeColor="text1"/>
          <w:shd w:val="clear" w:color="auto" w:fill="FFFFFF"/>
        </w:rPr>
        <w:t>інфляції</w:t>
      </w:r>
      <w:proofErr w:type="spellEnd"/>
      <w:r w:rsidRPr="000A669D">
        <w:rPr>
          <w:color w:val="000000" w:themeColor="text1"/>
          <w:shd w:val="clear" w:color="auto" w:fill="FFFFFF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  <w:lang w:val="uk-UA"/>
        </w:rPr>
        <w:t xml:space="preserve">10. Якщо між датою визначення орендної плати за базовий місяць і датою підписання акту приймання-передавання Майна минуло більше ніж один повний календарний місяць, то </w:t>
      </w:r>
      <w:r w:rsidRPr="000A669D">
        <w:rPr>
          <w:color w:val="000000" w:themeColor="text1"/>
          <w:lang w:val="uk-UA"/>
        </w:rPr>
        <w:lastRenderedPageBreak/>
        <w:t>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орендної плати за базовий місяць.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  <w:lang w:val="uk-UA"/>
        </w:rPr>
      </w:pPr>
      <w:r w:rsidRPr="000A669D">
        <w:rPr>
          <w:color w:val="000000" w:themeColor="text1"/>
          <w:lang w:val="uk-UA"/>
        </w:rPr>
        <w:t>11. Суми забезпечувального депозиту та авансового внеску сплачуються усіма орендарями, окрім органів місцевого самоврядування, інших установ і організацій, діяльність яких фінансується за рахунок бюджет</w:t>
      </w:r>
      <w:r w:rsidR="00364743" w:rsidRPr="000A669D">
        <w:rPr>
          <w:color w:val="000000" w:themeColor="text1"/>
          <w:lang w:val="uk-UA"/>
        </w:rPr>
        <w:t>у Межівської селищної територіальної громади</w:t>
      </w:r>
      <w:r w:rsidRPr="000A669D">
        <w:rPr>
          <w:color w:val="000000" w:themeColor="text1"/>
          <w:lang w:val="uk-UA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12. </w:t>
      </w:r>
      <w:proofErr w:type="spellStart"/>
      <w:r w:rsidRPr="000A669D">
        <w:rPr>
          <w:color w:val="000000" w:themeColor="text1"/>
        </w:rPr>
        <w:t>Оподаткування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орендної</w:t>
      </w:r>
      <w:proofErr w:type="spellEnd"/>
      <w:r w:rsidRPr="000A669D">
        <w:rPr>
          <w:color w:val="000000" w:themeColor="text1"/>
        </w:rPr>
        <w:t xml:space="preserve"> плати </w:t>
      </w:r>
      <w:proofErr w:type="spellStart"/>
      <w:r w:rsidRPr="000A669D">
        <w:rPr>
          <w:color w:val="000000" w:themeColor="text1"/>
        </w:rPr>
        <w:t>здійснюється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відповідно</w:t>
      </w:r>
      <w:proofErr w:type="spellEnd"/>
      <w:r w:rsidRPr="000A669D">
        <w:rPr>
          <w:color w:val="000000" w:themeColor="text1"/>
        </w:rPr>
        <w:t xml:space="preserve"> до </w:t>
      </w:r>
      <w:proofErr w:type="spellStart"/>
      <w:r w:rsidRPr="000A669D">
        <w:rPr>
          <w:color w:val="000000" w:themeColor="text1"/>
        </w:rPr>
        <w:t>вимог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законодавства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України</w:t>
      </w:r>
      <w:proofErr w:type="spellEnd"/>
      <w:r w:rsidRPr="000A669D">
        <w:rPr>
          <w:color w:val="000000" w:themeColor="text1"/>
        </w:rPr>
        <w:t>.</w:t>
      </w:r>
    </w:p>
    <w:p w:rsidR="00455F2B" w:rsidRPr="000A669D" w:rsidRDefault="00455F2B" w:rsidP="00455F2B">
      <w:pPr>
        <w:ind w:firstLine="567"/>
        <w:jc w:val="both"/>
        <w:rPr>
          <w:color w:val="000000" w:themeColor="text1"/>
        </w:rPr>
      </w:pPr>
      <w:r w:rsidRPr="000A669D">
        <w:rPr>
          <w:color w:val="000000" w:themeColor="text1"/>
        </w:rPr>
        <w:t xml:space="preserve">13. </w:t>
      </w:r>
      <w:proofErr w:type="spellStart"/>
      <w:r w:rsidRPr="000A669D">
        <w:rPr>
          <w:color w:val="000000" w:themeColor="text1"/>
        </w:rPr>
        <w:t>Додатки</w:t>
      </w:r>
      <w:proofErr w:type="spellEnd"/>
      <w:r w:rsidRPr="000A669D">
        <w:rPr>
          <w:color w:val="000000" w:themeColor="text1"/>
        </w:rPr>
        <w:t xml:space="preserve"> 1 та 2 до </w:t>
      </w:r>
      <w:proofErr w:type="spellStart"/>
      <w:r w:rsidRPr="000A669D">
        <w:rPr>
          <w:color w:val="000000" w:themeColor="text1"/>
        </w:rPr>
        <w:t>цієї</w:t>
      </w:r>
      <w:proofErr w:type="spellEnd"/>
      <w:r w:rsidRPr="000A669D">
        <w:rPr>
          <w:color w:val="000000" w:themeColor="text1"/>
        </w:rPr>
        <w:t xml:space="preserve"> Методики </w:t>
      </w:r>
      <w:proofErr w:type="spellStart"/>
      <w:r w:rsidRPr="000A669D">
        <w:rPr>
          <w:color w:val="000000" w:themeColor="text1"/>
        </w:rPr>
        <w:t>застосовуються</w:t>
      </w:r>
      <w:proofErr w:type="spellEnd"/>
      <w:r w:rsidRPr="000A669D">
        <w:rPr>
          <w:color w:val="000000" w:themeColor="text1"/>
        </w:rPr>
        <w:t xml:space="preserve"> до </w:t>
      </w:r>
      <w:proofErr w:type="spellStart"/>
      <w:r w:rsidRPr="000A669D">
        <w:rPr>
          <w:color w:val="000000" w:themeColor="text1"/>
        </w:rPr>
        <w:t>договорів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оренди</w:t>
      </w:r>
      <w:proofErr w:type="spellEnd"/>
      <w:r w:rsidRPr="000A669D">
        <w:rPr>
          <w:color w:val="000000" w:themeColor="text1"/>
        </w:rPr>
        <w:t xml:space="preserve">, </w:t>
      </w:r>
      <w:proofErr w:type="spellStart"/>
      <w:r w:rsidRPr="000A669D">
        <w:rPr>
          <w:color w:val="000000" w:themeColor="text1"/>
        </w:rPr>
        <w:t>що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укладаються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або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продовжуються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proofErr w:type="gramStart"/>
      <w:r w:rsidRPr="000A669D">
        <w:rPr>
          <w:color w:val="000000" w:themeColor="text1"/>
        </w:rPr>
        <w:t>п</w:t>
      </w:r>
      <w:proofErr w:type="gramEnd"/>
      <w:r w:rsidRPr="000A669D">
        <w:rPr>
          <w:color w:val="000000" w:themeColor="text1"/>
        </w:rPr>
        <w:t>ісля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набрання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чинності</w:t>
      </w:r>
      <w:proofErr w:type="spellEnd"/>
      <w:r w:rsidRPr="000A669D">
        <w:rPr>
          <w:color w:val="000000" w:themeColor="text1"/>
        </w:rPr>
        <w:t xml:space="preserve"> </w:t>
      </w:r>
      <w:proofErr w:type="spellStart"/>
      <w:r w:rsidRPr="000A669D">
        <w:rPr>
          <w:color w:val="000000" w:themeColor="text1"/>
        </w:rPr>
        <w:t>цією</w:t>
      </w:r>
      <w:proofErr w:type="spellEnd"/>
      <w:r w:rsidRPr="000A669D">
        <w:rPr>
          <w:color w:val="000000" w:themeColor="text1"/>
        </w:rPr>
        <w:t xml:space="preserve"> Методикою. </w:t>
      </w:r>
    </w:p>
    <w:p w:rsidR="00455F2B" w:rsidRPr="000A669D" w:rsidRDefault="005010CB" w:rsidP="005010CB">
      <w:pPr>
        <w:jc w:val="center"/>
        <w:rPr>
          <w:color w:val="000000" w:themeColor="text1"/>
          <w:lang w:val="uk-UA"/>
        </w:rPr>
      </w:pPr>
      <w:r w:rsidRPr="000A669D">
        <w:rPr>
          <w:color w:val="000000" w:themeColor="text1"/>
          <w:lang w:val="uk-UA"/>
        </w:rPr>
        <w:t>___________________</w:t>
      </w:r>
    </w:p>
    <w:p w:rsidR="005010CB" w:rsidRPr="000A669D" w:rsidRDefault="005010CB" w:rsidP="00455F2B">
      <w:pPr>
        <w:jc w:val="both"/>
        <w:rPr>
          <w:rFonts w:eastAsia="Times New Roman"/>
          <w:color w:val="000000" w:themeColor="text1"/>
          <w:lang w:val="uk-UA" w:eastAsia="ru-RU"/>
        </w:rPr>
      </w:pPr>
    </w:p>
    <w:p w:rsidR="005010CB" w:rsidRPr="000A669D" w:rsidRDefault="005010CB" w:rsidP="00455F2B">
      <w:pPr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jc w:val="both"/>
        <w:rPr>
          <w:rFonts w:eastAsia="Times New Roman"/>
          <w:color w:val="000000" w:themeColor="text1"/>
          <w:lang w:val="uk-UA" w:eastAsia="ru-RU"/>
        </w:rPr>
      </w:pPr>
      <w:proofErr w:type="spellStart"/>
      <w:r w:rsidRPr="000A669D">
        <w:rPr>
          <w:rFonts w:eastAsia="Times New Roman"/>
          <w:color w:val="000000" w:themeColor="text1"/>
          <w:lang w:eastAsia="ru-RU"/>
        </w:rPr>
        <w:t>Секретар</w:t>
      </w:r>
      <w:proofErr w:type="spellEnd"/>
      <w:r w:rsidRPr="000A669D">
        <w:rPr>
          <w:rFonts w:eastAsia="Times New Roman"/>
          <w:color w:val="000000" w:themeColor="text1"/>
          <w:lang w:eastAsia="ru-RU"/>
        </w:rPr>
        <w:t xml:space="preserve"> ради </w:t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  <w:t xml:space="preserve">         </w:t>
      </w:r>
      <w:r w:rsidR="005010CB" w:rsidRPr="000A669D">
        <w:rPr>
          <w:rFonts w:eastAsia="Times New Roman"/>
          <w:color w:val="000000" w:themeColor="text1"/>
          <w:lang w:val="uk-UA" w:eastAsia="ru-RU"/>
        </w:rPr>
        <w:t xml:space="preserve">     </w:t>
      </w:r>
      <w:r w:rsidRPr="000A669D">
        <w:rPr>
          <w:rFonts w:eastAsia="Times New Roman"/>
          <w:color w:val="000000" w:themeColor="text1"/>
          <w:lang w:val="uk-UA" w:eastAsia="ru-RU"/>
        </w:rPr>
        <w:t>Любов МАКСІМКІ</w:t>
      </w:r>
      <w:proofErr w:type="gramStart"/>
      <w:r w:rsidRPr="000A669D">
        <w:rPr>
          <w:rFonts w:eastAsia="Times New Roman"/>
          <w:color w:val="000000" w:themeColor="text1"/>
          <w:lang w:val="uk-UA" w:eastAsia="ru-RU"/>
        </w:rPr>
        <w:t>НА</w:t>
      </w:r>
      <w:proofErr w:type="gramEnd"/>
    </w:p>
    <w:p w:rsidR="00455F2B" w:rsidRPr="000A669D" w:rsidRDefault="00455F2B" w:rsidP="00455F2B">
      <w:pPr>
        <w:jc w:val="both"/>
        <w:rPr>
          <w:rFonts w:eastAsia="Times New Roman"/>
          <w:color w:val="000000" w:themeColor="text1"/>
          <w:lang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0958FE" w:rsidRPr="000A669D" w:rsidRDefault="000958FE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ind w:firstLine="6237"/>
        <w:jc w:val="both"/>
        <w:rPr>
          <w:rFonts w:eastAsia="Times New Roman"/>
          <w:color w:val="000000" w:themeColor="text1"/>
          <w:lang w:val="uk-UA" w:eastAsia="ru-RU"/>
        </w:rPr>
      </w:pPr>
      <w:proofErr w:type="spellStart"/>
      <w:r w:rsidRPr="000A669D">
        <w:rPr>
          <w:rFonts w:eastAsia="Times New Roman"/>
          <w:color w:val="000000" w:themeColor="text1"/>
          <w:lang w:eastAsia="ru-RU"/>
        </w:rPr>
        <w:lastRenderedPageBreak/>
        <w:t>Додаток</w:t>
      </w:r>
      <w:proofErr w:type="spellEnd"/>
      <w:r w:rsidRPr="000A669D">
        <w:rPr>
          <w:rFonts w:eastAsia="Times New Roman"/>
          <w:color w:val="000000" w:themeColor="text1"/>
          <w:lang w:eastAsia="ru-RU"/>
        </w:rPr>
        <w:t xml:space="preserve"> 1 до Методики</w:t>
      </w:r>
    </w:p>
    <w:p w:rsidR="00455F2B" w:rsidRPr="000A669D" w:rsidRDefault="00455F2B" w:rsidP="00455F2B">
      <w:pPr>
        <w:ind w:firstLine="6237"/>
        <w:jc w:val="both"/>
        <w:rPr>
          <w:rFonts w:eastAsia="Times New Roman"/>
          <w:b/>
          <w:color w:val="000000" w:themeColor="text1"/>
          <w:sz w:val="16"/>
          <w:szCs w:val="16"/>
          <w:lang w:val="uk-UA" w:eastAsia="ru-RU"/>
        </w:rPr>
      </w:pPr>
    </w:p>
    <w:p w:rsidR="00455F2B" w:rsidRPr="000A669D" w:rsidRDefault="00455F2B" w:rsidP="00455F2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ОРЕНДНІ СТАВКИ</w:t>
      </w:r>
    </w:p>
    <w:p w:rsidR="00455F2B" w:rsidRPr="000A669D" w:rsidRDefault="00455F2B" w:rsidP="00455F2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за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цілісних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майнових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комплексів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комунальних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підприємств</w:t>
      </w:r>
      <w:proofErr w:type="spellEnd"/>
      <w:r w:rsidR="0058026C"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>, закладів</w:t>
      </w:r>
      <w:proofErr w:type="gram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М</w:t>
      </w:r>
      <w:proofErr w:type="spellStart"/>
      <w:proofErr w:type="gram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>ежівсь</w:t>
      </w:r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кої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>селищної</w:t>
      </w:r>
      <w:proofErr w:type="spellEnd"/>
      <w:r w:rsidRPr="000A669D">
        <w:rPr>
          <w:rFonts w:eastAsia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ради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65"/>
        <w:gridCol w:w="2803"/>
      </w:tblGrid>
      <w:tr w:rsidR="00455F2B" w:rsidRPr="000A669D" w:rsidTr="005010CB">
        <w:trPr>
          <w:trHeight w:val="29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5010C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5010CB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Орендна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ставка,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відсоткі</w:t>
            </w:r>
            <w:proofErr w:type="gram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</w:tr>
      <w:tr w:rsidR="00455F2B" w:rsidRPr="000A669D" w:rsidTr="00C96E54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0A669D">
              <w:rPr>
                <w:rFonts w:eastAsia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0A669D">
              <w:rPr>
                <w:rFonts w:eastAsia="Times New Roman"/>
                <w:color w:val="000000" w:themeColor="text1"/>
                <w:lang w:eastAsia="ru-RU"/>
              </w:rPr>
              <w:t> </w:t>
            </w:r>
          </w:p>
        </w:tc>
      </w:tr>
      <w:tr w:rsidR="00455F2B" w:rsidRPr="000A669D" w:rsidTr="00C96E5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Ц</w:t>
            </w:r>
            <w:proofErr w:type="gram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ілісні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майнові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комплекси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комунальних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="0058026C" w:rsidRPr="000A669D">
              <w:rPr>
                <w:rFonts w:eastAsia="Times New Roman"/>
                <w:color w:val="000000" w:themeColor="text1"/>
                <w:bdr w:val="none" w:sz="0" w:space="0" w:color="auto" w:frame="1"/>
                <w:lang w:val="uk-UA" w:eastAsia="ru-RU"/>
              </w:rPr>
              <w:t>, закладів</w:t>
            </w:r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0A669D">
              <w:rPr>
                <w:rFonts w:eastAsia="Times New Roman"/>
                <w:color w:val="000000" w:themeColor="text1"/>
                <w:lang w:eastAsia="ru-RU"/>
              </w:rPr>
              <w:t> </w:t>
            </w:r>
          </w:p>
        </w:tc>
      </w:tr>
      <w:tr w:rsidR="00455F2B" w:rsidRPr="000A669D" w:rsidTr="00C96E5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здоров'я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5F2B" w:rsidRPr="000A669D" w:rsidRDefault="00455F2B" w:rsidP="00C96E54">
            <w:pPr>
              <w:jc w:val="center"/>
              <w:rPr>
                <w:rFonts w:eastAsia="Times New Roman"/>
                <w:color w:val="000000" w:themeColor="text1"/>
                <w:lang w:val="uk-UA" w:eastAsia="ru-RU"/>
              </w:rPr>
            </w:pPr>
            <w:r w:rsidRPr="000A669D">
              <w:rPr>
                <w:rFonts w:eastAsia="Times New Roman"/>
                <w:color w:val="000000" w:themeColor="text1"/>
                <w:lang w:val="uk-UA" w:eastAsia="ru-RU"/>
              </w:rPr>
              <w:t>12</w:t>
            </w:r>
          </w:p>
        </w:tc>
      </w:tr>
      <w:tr w:rsidR="00455F2B" w:rsidRPr="000A669D" w:rsidTr="00C96E5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об'єкти</w:t>
            </w:r>
            <w:proofErr w:type="spellEnd"/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5F2B" w:rsidRPr="000A669D" w:rsidRDefault="00455F2B" w:rsidP="00C96E54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A669D">
              <w:rPr>
                <w:rFonts w:eastAsia="Times New Roman"/>
                <w:color w:val="000000" w:themeColor="text1"/>
                <w:bdr w:val="none" w:sz="0" w:space="0" w:color="auto" w:frame="1"/>
                <w:lang w:eastAsia="ru-RU"/>
              </w:rPr>
              <w:t>10</w:t>
            </w:r>
          </w:p>
        </w:tc>
      </w:tr>
    </w:tbl>
    <w:p w:rsidR="00455F2B" w:rsidRPr="000A669D" w:rsidRDefault="00455F2B" w:rsidP="00455F2B">
      <w:pPr>
        <w:ind w:firstLine="6237"/>
        <w:jc w:val="both"/>
        <w:rPr>
          <w:rFonts w:eastAsia="Times New Roman"/>
          <w:b/>
          <w:color w:val="000000" w:themeColor="text1"/>
          <w:sz w:val="16"/>
          <w:szCs w:val="16"/>
          <w:lang w:val="uk-UA" w:eastAsia="ru-RU"/>
        </w:rPr>
      </w:pPr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eastAsia="ru-RU"/>
        </w:rPr>
      </w:pP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Орендні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ставки </w:t>
      </w:r>
      <w:proofErr w:type="gramStart"/>
      <w:r w:rsidRPr="000A669D">
        <w:rPr>
          <w:rFonts w:eastAsia="Times New Roman"/>
          <w:b/>
          <w:color w:val="000000" w:themeColor="text1"/>
          <w:lang w:eastAsia="ru-RU"/>
        </w:rPr>
        <w:t>для</w:t>
      </w:r>
      <w:proofErr w:type="gram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договорів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оренди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комунального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майна</w:t>
      </w:r>
    </w:p>
    <w:p w:rsidR="00455F2B" w:rsidRPr="000A669D" w:rsidRDefault="00455F2B" w:rsidP="00455F2B">
      <w:pPr>
        <w:jc w:val="both"/>
        <w:rPr>
          <w:rFonts w:eastAsia="Times New Roman"/>
          <w:color w:val="000000" w:themeColor="text1"/>
          <w:sz w:val="16"/>
          <w:szCs w:val="16"/>
          <w:lang w:eastAsia="ru-RU"/>
        </w:rPr>
      </w:pPr>
    </w:p>
    <w:tbl>
      <w:tblPr>
        <w:tblW w:w="97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83"/>
        <w:gridCol w:w="1417"/>
      </w:tblGrid>
      <w:tr w:rsidR="00455F2B" w:rsidRPr="000A669D" w:rsidTr="00C96E54">
        <w:trPr>
          <w:trHeight w:val="10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№ з/</w:t>
            </w:r>
            <w:proofErr w:type="gramStart"/>
            <w:r w:rsidRPr="000A669D">
              <w:rPr>
                <w:rFonts w:eastAsia="Calibri"/>
                <w:color w:val="000000" w:themeColor="text1"/>
              </w:rPr>
              <w:t>п</w:t>
            </w:r>
            <w:proofErr w:type="gramEnd"/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Орендарі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Орендна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ставка (</w:t>
            </w:r>
            <w:proofErr w:type="spellStart"/>
            <w:proofErr w:type="gramStart"/>
            <w:r w:rsidRPr="000A669D">
              <w:rPr>
                <w:rFonts w:eastAsia="Calibri"/>
                <w:color w:val="000000" w:themeColor="text1"/>
              </w:rPr>
              <w:t>р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>ічна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), </w:t>
            </w:r>
          </w:p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відсотків</w:t>
            </w:r>
            <w:proofErr w:type="spellEnd"/>
          </w:p>
        </w:tc>
      </w:tr>
      <w:tr w:rsidR="00455F2B" w:rsidRPr="000A669D" w:rsidTr="00C96E54">
        <w:trPr>
          <w:trHeight w:val="1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1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 xml:space="preserve">Для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організації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та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проведення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науково-практичних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культурних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мистецьких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громадських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суспільних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та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політичних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заходів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на строк,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що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не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перевищує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п’яти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календарних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днів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протягом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шести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місяців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також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щодо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майна, яке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передається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суб’єктам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виборчого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процесу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метою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проведення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публічних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заходів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(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зборів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дебатів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дискусій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) </w:t>
            </w:r>
            <w:proofErr w:type="spellStart"/>
            <w:proofErr w:type="gramStart"/>
            <w:r w:rsidRPr="000A669D">
              <w:rPr>
                <w:rFonts w:eastAsia="Calibri"/>
                <w:color w:val="000000" w:themeColor="text1"/>
              </w:rPr>
              <w:t>п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>ід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час та на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період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виборчої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кампанії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8</w:t>
            </w:r>
          </w:p>
        </w:tc>
      </w:tr>
      <w:tr w:rsidR="00455F2B" w:rsidRPr="000A669D" w:rsidTr="005010CB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2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  <w:lang w:val="uk-UA"/>
              </w:rPr>
            </w:pP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Приватні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заклади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освіти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суб'єкти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п</w:t>
            </w:r>
            <w:proofErr w:type="gram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ідприємницької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діяльності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),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які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мають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ліцензію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на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надання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освітніх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послуг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у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відповідній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сфері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крім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закладів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освіти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суб'єктів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підприємницької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діяльності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визначених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у пункт</w:t>
            </w:r>
            <w:r w:rsidRPr="000A669D">
              <w:rPr>
                <w:rFonts w:ascii="ProbaPro" w:hAnsi="ProbaPro"/>
                <w:color w:val="000000" w:themeColor="text1"/>
                <w:shd w:val="clear" w:color="auto" w:fill="FFFFFF"/>
                <w:lang w:val="uk-UA"/>
              </w:rPr>
              <w:t>і</w:t>
            </w:r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r w:rsidRPr="000A669D">
              <w:rPr>
                <w:rFonts w:ascii="ProbaPro" w:hAnsi="ProbaPro"/>
                <w:color w:val="000000" w:themeColor="text1"/>
                <w:shd w:val="clear" w:color="auto" w:fill="FFFFFF"/>
                <w:lang w:val="uk-UA"/>
              </w:rPr>
              <w:t>3</w:t>
            </w:r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цього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додатка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), на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площі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що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використовується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для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надання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>ліцензійних</w:t>
            </w:r>
            <w:proofErr w:type="spellEnd"/>
            <w:r w:rsidRPr="000A669D">
              <w:rPr>
                <w:rFonts w:ascii="ProbaPro" w:hAnsi="ProbaPro"/>
                <w:color w:val="000000" w:themeColor="text1"/>
                <w:shd w:val="clear" w:color="auto" w:fill="FFFFFF"/>
              </w:rPr>
              <w:t xml:space="preserve"> послу</w:t>
            </w:r>
            <w:r w:rsidRPr="000A669D">
              <w:rPr>
                <w:rFonts w:ascii="ProbaPro" w:hAnsi="ProbaPro"/>
                <w:color w:val="000000" w:themeColor="text1"/>
                <w:shd w:val="clear" w:color="auto" w:fill="FFFFFF"/>
                <w:lang w:val="uk-UA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5</w:t>
            </w:r>
          </w:p>
        </w:tc>
      </w:tr>
      <w:tr w:rsidR="00455F2B" w:rsidRPr="000A669D" w:rsidTr="00C96E54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3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pStyle w:val="aa"/>
              <w:ind w:left="142"/>
              <w:rPr>
                <w:rFonts w:eastAsia="Calibri"/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shd w:val="clear" w:color="auto" w:fill="FFFFFF"/>
                <w:lang w:val="uk-UA"/>
              </w:rPr>
              <w:t>Заклади освіти, засновані на будь-якій формі власності, суб'єкти підприємницької діяльності, що мають ліцензію на надання освітніх послуг у сфері дошкільної освіти, на площі, що використовуються для надання ліцензійних послуг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1</w:t>
            </w:r>
          </w:p>
        </w:tc>
      </w:tr>
      <w:tr w:rsidR="00455F2B" w:rsidRPr="000A669D" w:rsidTr="00C96E54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4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Державні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0A669D">
              <w:rPr>
                <w:rFonts w:eastAsia="Calibri"/>
                <w:color w:val="000000" w:themeColor="text1"/>
              </w:rPr>
              <w:t>п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>ідприємства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установи,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організації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у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сфері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культури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мистецтв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або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громадські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організації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у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сфері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культури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мистецтв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(у тому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числі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національні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творчі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спілки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або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їх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члени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під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творчі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майстерні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),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окрім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передбачених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пунктом 8 Методики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</w:p>
        </w:tc>
      </w:tr>
      <w:tr w:rsidR="00455F2B" w:rsidRPr="000A669D" w:rsidTr="00C96E54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5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Реабілітаційні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установи для </w:t>
            </w:r>
            <w:proofErr w:type="spellStart"/>
            <w:proofErr w:type="gramStart"/>
            <w:r w:rsidRPr="000A669D">
              <w:rPr>
                <w:rFonts w:eastAsia="Calibri"/>
                <w:color w:val="000000" w:themeColor="text1"/>
              </w:rPr>
              <w:t>осіб</w:t>
            </w:r>
            <w:proofErr w:type="spellEnd"/>
            <w:proofErr w:type="gram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інвалідністю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та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дітей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інвалідністю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для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розміщення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таких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реабілітаційних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установ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</w:p>
        </w:tc>
      </w:tr>
      <w:tr w:rsidR="00455F2B" w:rsidRPr="000A669D" w:rsidTr="005010C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6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Музеї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крім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зазначених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gramStart"/>
            <w:r w:rsidRPr="000A669D">
              <w:rPr>
                <w:rFonts w:eastAsia="Calibri"/>
                <w:color w:val="000000" w:themeColor="text1"/>
              </w:rPr>
              <w:t>у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0A669D">
              <w:rPr>
                <w:rFonts w:eastAsia="Calibri"/>
                <w:color w:val="000000" w:themeColor="text1"/>
              </w:rPr>
              <w:t>пункт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>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8.2 Методики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</w:p>
        </w:tc>
      </w:tr>
      <w:tr w:rsidR="00455F2B" w:rsidRPr="000A669D" w:rsidTr="00C96E54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7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Організації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установи у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сфері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спорту,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визначені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абзацами 13, 14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частини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2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статті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15 Закону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України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"Про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оренду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gramStart"/>
            <w:r w:rsidRPr="000A669D">
              <w:rPr>
                <w:rFonts w:eastAsia="Calibri"/>
                <w:color w:val="000000" w:themeColor="text1"/>
              </w:rPr>
              <w:t>державного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 xml:space="preserve"> та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комунального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майна"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</w:p>
        </w:tc>
      </w:tr>
      <w:tr w:rsidR="00455F2B" w:rsidRPr="000A669D" w:rsidTr="00C96E54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8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Державні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спеціалізовані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0A669D">
              <w:rPr>
                <w:rFonts w:eastAsia="Calibri"/>
                <w:color w:val="000000" w:themeColor="text1"/>
              </w:rPr>
              <w:t>п</w:t>
            </w:r>
            <w:proofErr w:type="gramEnd"/>
            <w:r w:rsidRPr="000A669D">
              <w:rPr>
                <w:rFonts w:eastAsia="Calibri"/>
                <w:color w:val="000000" w:themeColor="text1"/>
              </w:rPr>
              <w:t>ідприємства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установи та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заклади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соціального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обслуговування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що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надають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соціальні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послуги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відповідно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до Закону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України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“Про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соціальні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послуги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</w:p>
        </w:tc>
      </w:tr>
      <w:tr w:rsidR="00455F2B" w:rsidRPr="000A669D" w:rsidTr="005010CB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9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Народні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депутати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для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розміщення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громадської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приймальні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3</w:t>
            </w:r>
          </w:p>
        </w:tc>
      </w:tr>
      <w:tr w:rsidR="00455F2B" w:rsidRPr="000A669D" w:rsidTr="005010CB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  <w:r w:rsidRPr="000A669D">
              <w:rPr>
                <w:rFonts w:eastAsia="Calibri"/>
                <w:color w:val="000000" w:themeColor="text1"/>
                <w:lang w:val="uk-UA"/>
              </w:rPr>
              <w:t>0</w:t>
            </w:r>
            <w:r w:rsidRPr="000A669D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proofErr w:type="spellStart"/>
            <w:r w:rsidRPr="000A669D">
              <w:rPr>
                <w:rFonts w:eastAsia="Calibri"/>
                <w:color w:val="000000" w:themeColor="text1"/>
              </w:rPr>
              <w:t>Депутати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місцевих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рад для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розміщення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громадської</w:t>
            </w:r>
            <w:proofErr w:type="spellEnd"/>
            <w:r w:rsidRPr="000A669D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rFonts w:eastAsia="Calibri"/>
                <w:color w:val="000000" w:themeColor="text1"/>
              </w:rPr>
              <w:t>приймальні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0A669D">
              <w:rPr>
                <w:rFonts w:eastAsia="Calibri"/>
                <w:color w:val="000000" w:themeColor="text1"/>
              </w:rPr>
              <w:t>1</w:t>
            </w:r>
          </w:p>
        </w:tc>
      </w:tr>
      <w:tr w:rsidR="00455F2B" w:rsidRPr="000A669D" w:rsidTr="005010CB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ind w:left="149" w:right="102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11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5010CB">
            <w:pPr>
              <w:widowControl w:val="0"/>
              <w:autoSpaceDE w:val="0"/>
              <w:autoSpaceDN w:val="0"/>
              <w:ind w:left="149" w:right="102"/>
              <w:rPr>
                <w:rFonts w:eastAsia="Calibri"/>
                <w:color w:val="000000" w:themeColor="text1"/>
              </w:rPr>
            </w:pPr>
            <w:r w:rsidRPr="000A669D">
              <w:rPr>
                <w:color w:val="000000" w:themeColor="text1"/>
                <w:lang w:val="uk-UA"/>
              </w:rPr>
              <w:t>Н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аціональн</w:t>
            </w:r>
            <w:proofErr w:type="spellEnd"/>
            <w:r w:rsidRPr="000A669D">
              <w:rPr>
                <w:color w:val="000000" w:themeColor="text1"/>
                <w:shd w:val="clear" w:color="auto" w:fill="FFFFFF"/>
                <w:lang w:val="uk-UA"/>
              </w:rPr>
              <w:t>і</w:t>
            </w:r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художні</w:t>
            </w:r>
            <w:proofErr w:type="spellEnd"/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колектив</w:t>
            </w:r>
            <w:proofErr w:type="spellEnd"/>
            <w:r w:rsidRPr="000A669D">
              <w:rPr>
                <w:color w:val="000000" w:themeColor="text1"/>
                <w:shd w:val="clear" w:color="auto" w:fill="FFFFFF"/>
                <w:lang w:val="uk-UA"/>
              </w:rPr>
              <w:t>и</w:t>
            </w:r>
            <w:r w:rsidRPr="000A669D">
              <w:rPr>
                <w:color w:val="000000" w:themeColor="text1"/>
                <w:shd w:val="clear" w:color="auto" w:fill="FFFFFF"/>
              </w:rPr>
              <w:t xml:space="preserve"> та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концертн</w:t>
            </w:r>
            <w:proofErr w:type="spellEnd"/>
            <w:r w:rsidRPr="000A669D">
              <w:rPr>
                <w:color w:val="000000" w:themeColor="text1"/>
                <w:shd w:val="clear" w:color="auto" w:fill="FFFFFF"/>
                <w:lang w:val="uk-UA"/>
              </w:rPr>
              <w:t>і</w:t>
            </w:r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організаці</w:t>
            </w:r>
            <w:proofErr w:type="spellEnd"/>
            <w:r w:rsidRPr="000A669D">
              <w:rPr>
                <w:color w:val="000000" w:themeColor="text1"/>
                <w:shd w:val="clear" w:color="auto" w:fill="FFFFFF"/>
                <w:lang w:val="uk-UA"/>
              </w:rPr>
              <w:t>ї</w:t>
            </w:r>
            <w:r w:rsidRPr="000A669D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яким</w:t>
            </w:r>
            <w:proofErr w:type="spellEnd"/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надається</w:t>
            </w:r>
            <w:proofErr w:type="spellEnd"/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фінансова</w:t>
            </w:r>
            <w:proofErr w:type="spellEnd"/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підтримка</w:t>
            </w:r>
            <w:proofErr w:type="spellEnd"/>
            <w:r w:rsidRPr="000A669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669D">
              <w:rPr>
                <w:color w:val="000000" w:themeColor="text1"/>
                <w:shd w:val="clear" w:color="auto" w:fill="FFFFFF"/>
              </w:rPr>
              <w:t>з</w:t>
            </w:r>
            <w:proofErr w:type="spellEnd"/>
            <w:r w:rsidRPr="000A669D">
              <w:rPr>
                <w:color w:val="000000" w:themeColor="text1"/>
                <w:shd w:val="clear" w:color="auto" w:fill="FFFFFF"/>
              </w:rPr>
              <w:t xml:space="preserve"> державного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F2B" w:rsidRPr="000A669D" w:rsidRDefault="00455F2B" w:rsidP="00C96E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lang w:val="uk-UA"/>
              </w:rPr>
            </w:pPr>
            <w:r w:rsidRPr="000A669D">
              <w:rPr>
                <w:rFonts w:eastAsia="Calibri"/>
                <w:color w:val="000000" w:themeColor="text1"/>
                <w:lang w:val="uk-UA"/>
              </w:rPr>
              <w:t>2</w:t>
            </w:r>
          </w:p>
        </w:tc>
      </w:tr>
    </w:tbl>
    <w:p w:rsidR="00455F2B" w:rsidRPr="000A669D" w:rsidRDefault="00455F2B" w:rsidP="00455F2B">
      <w:pPr>
        <w:jc w:val="center"/>
        <w:rPr>
          <w:rFonts w:eastAsia="Times New Roman"/>
          <w:color w:val="000000" w:themeColor="text1"/>
          <w:lang w:val="uk-UA" w:eastAsia="ru-RU"/>
        </w:rPr>
      </w:pPr>
      <w:r w:rsidRPr="000A669D">
        <w:rPr>
          <w:rFonts w:eastAsia="Times New Roman"/>
          <w:color w:val="000000" w:themeColor="text1"/>
          <w:lang w:val="uk-UA" w:eastAsia="ru-RU"/>
        </w:rPr>
        <w:t>___________________________</w:t>
      </w:r>
    </w:p>
    <w:p w:rsidR="005010CB" w:rsidRPr="000A669D" w:rsidRDefault="005010CB" w:rsidP="00455F2B">
      <w:pPr>
        <w:jc w:val="both"/>
        <w:rPr>
          <w:rFonts w:eastAsia="Times New Roman"/>
          <w:color w:val="000000" w:themeColor="text1"/>
          <w:sz w:val="16"/>
          <w:szCs w:val="16"/>
          <w:lang w:val="uk-UA" w:eastAsia="ru-RU"/>
        </w:rPr>
      </w:pPr>
    </w:p>
    <w:p w:rsidR="00455F2B" w:rsidRPr="000A669D" w:rsidRDefault="00455F2B" w:rsidP="00455F2B">
      <w:pPr>
        <w:jc w:val="both"/>
        <w:rPr>
          <w:rFonts w:eastAsia="Times New Roman"/>
          <w:color w:val="000000" w:themeColor="text1"/>
          <w:lang w:val="uk-UA" w:eastAsia="ru-RU"/>
        </w:rPr>
      </w:pPr>
      <w:proofErr w:type="spellStart"/>
      <w:r w:rsidRPr="000A669D">
        <w:rPr>
          <w:rFonts w:eastAsia="Times New Roman"/>
          <w:color w:val="000000" w:themeColor="text1"/>
          <w:lang w:eastAsia="ru-RU"/>
        </w:rPr>
        <w:t>Секретар</w:t>
      </w:r>
      <w:proofErr w:type="spellEnd"/>
      <w:r w:rsidRPr="000A669D">
        <w:rPr>
          <w:rFonts w:eastAsia="Times New Roman"/>
          <w:color w:val="000000" w:themeColor="text1"/>
          <w:lang w:eastAsia="ru-RU"/>
        </w:rPr>
        <w:t xml:space="preserve"> ради </w:t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  <w:t xml:space="preserve">      Любов МАКСІМКІНА</w:t>
      </w:r>
    </w:p>
    <w:p w:rsidR="00455F2B" w:rsidRPr="000A669D" w:rsidRDefault="00455F2B" w:rsidP="00455F2B">
      <w:pPr>
        <w:ind w:firstLine="6521"/>
        <w:jc w:val="both"/>
        <w:rPr>
          <w:rFonts w:eastAsia="Times New Roman"/>
          <w:color w:val="000000" w:themeColor="text1"/>
          <w:lang w:eastAsia="ru-RU"/>
        </w:rPr>
      </w:pPr>
      <w:proofErr w:type="spellStart"/>
      <w:r w:rsidRPr="000A669D">
        <w:rPr>
          <w:rFonts w:eastAsia="Times New Roman"/>
          <w:color w:val="000000" w:themeColor="text1"/>
          <w:lang w:eastAsia="ru-RU"/>
        </w:rPr>
        <w:lastRenderedPageBreak/>
        <w:t>Додаток</w:t>
      </w:r>
      <w:proofErr w:type="spellEnd"/>
      <w:r w:rsidRPr="000A669D">
        <w:rPr>
          <w:rFonts w:eastAsia="Times New Roman"/>
          <w:color w:val="000000" w:themeColor="text1"/>
          <w:lang w:eastAsia="ru-RU"/>
        </w:rPr>
        <w:t xml:space="preserve"> 2 до Методики</w:t>
      </w:r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val="uk-UA" w:eastAsia="ru-RU"/>
        </w:rPr>
      </w:pPr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val="uk-UA" w:eastAsia="ru-RU"/>
        </w:rPr>
      </w:pPr>
      <w:r w:rsidRPr="000A669D">
        <w:rPr>
          <w:rFonts w:eastAsia="Times New Roman"/>
          <w:b/>
          <w:color w:val="000000" w:themeColor="text1"/>
          <w:lang w:eastAsia="ru-RU"/>
        </w:rPr>
        <w:t>ОРЕНДНІ СТАВК</w:t>
      </w:r>
      <w:r w:rsidRPr="000A669D">
        <w:rPr>
          <w:rFonts w:eastAsia="Times New Roman"/>
          <w:b/>
          <w:color w:val="000000" w:themeColor="text1"/>
          <w:lang w:val="uk-UA" w:eastAsia="ru-RU"/>
        </w:rPr>
        <w:t>И</w:t>
      </w:r>
    </w:p>
    <w:p w:rsidR="00455F2B" w:rsidRPr="000A669D" w:rsidRDefault="00455F2B" w:rsidP="00455F2B">
      <w:pPr>
        <w:jc w:val="center"/>
        <w:rPr>
          <w:rFonts w:eastAsia="Times New Roman"/>
          <w:b/>
          <w:color w:val="000000" w:themeColor="text1"/>
          <w:lang w:eastAsia="ru-RU"/>
        </w:rPr>
      </w:pPr>
      <w:proofErr w:type="gramStart"/>
      <w:r w:rsidRPr="000A669D">
        <w:rPr>
          <w:rFonts w:eastAsia="Times New Roman"/>
          <w:b/>
          <w:color w:val="000000" w:themeColor="text1"/>
          <w:lang w:eastAsia="ru-RU"/>
        </w:rPr>
        <w:t>для</w:t>
      </w:r>
      <w:proofErr w:type="gram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договорів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оренди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,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які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були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укладені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до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набрання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чинності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Законом та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продовжуються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  <w:proofErr w:type="spellStart"/>
      <w:r w:rsidRPr="000A669D">
        <w:rPr>
          <w:rFonts w:eastAsia="Times New Roman"/>
          <w:b/>
          <w:color w:val="000000" w:themeColor="text1"/>
          <w:lang w:eastAsia="ru-RU"/>
        </w:rPr>
        <w:t>вперше</w:t>
      </w:r>
      <w:proofErr w:type="spellEnd"/>
      <w:r w:rsidRPr="000A669D">
        <w:rPr>
          <w:rFonts w:eastAsia="Times New Roman"/>
          <w:b/>
          <w:color w:val="000000" w:themeColor="text1"/>
          <w:lang w:eastAsia="ru-RU"/>
        </w:rPr>
        <w:t xml:space="preserve"> </w:t>
      </w:r>
    </w:p>
    <w:p w:rsidR="00455F2B" w:rsidRPr="000A669D" w:rsidRDefault="00455F2B" w:rsidP="00455F2B">
      <w:pPr>
        <w:jc w:val="both"/>
        <w:rPr>
          <w:rFonts w:eastAsia="Times New Roman"/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654"/>
        <w:gridCol w:w="1326"/>
      </w:tblGrid>
      <w:tr w:rsidR="00455F2B" w:rsidRPr="000A669D" w:rsidTr="009D6B78"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</w:rPr>
            </w:pPr>
            <w:r w:rsidRPr="000A669D">
              <w:rPr>
                <w:color w:val="000000" w:themeColor="text1"/>
              </w:rPr>
              <w:t xml:space="preserve">І. </w:t>
            </w:r>
            <w:proofErr w:type="spellStart"/>
            <w:r w:rsidRPr="000A669D">
              <w:rPr>
                <w:color w:val="000000" w:themeColor="text1"/>
              </w:rPr>
              <w:t>Використання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нерухомого</w:t>
            </w:r>
            <w:proofErr w:type="spellEnd"/>
            <w:r w:rsidRPr="000A669D">
              <w:rPr>
                <w:color w:val="000000" w:themeColor="text1"/>
              </w:rPr>
              <w:t xml:space="preserve"> майна за </w:t>
            </w:r>
            <w:proofErr w:type="spellStart"/>
            <w:r w:rsidRPr="000A669D">
              <w:rPr>
                <w:color w:val="000000" w:themeColor="text1"/>
              </w:rPr>
              <w:t>цільовим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призначенням</w:t>
            </w:r>
            <w:proofErr w:type="spellEnd"/>
            <w:r w:rsidRPr="000A669D">
              <w:rPr>
                <w:color w:val="000000" w:themeColor="text1"/>
              </w:rPr>
              <w:t xml:space="preserve">  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</w:rPr>
            </w:pPr>
            <w:r w:rsidRPr="000A669D">
              <w:rPr>
                <w:color w:val="000000" w:themeColor="text1"/>
              </w:rPr>
              <w:t>№ з/</w:t>
            </w:r>
            <w:proofErr w:type="gramStart"/>
            <w:r w:rsidRPr="000A669D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</w:rPr>
            </w:pPr>
            <w:proofErr w:type="spellStart"/>
            <w:r w:rsidRPr="000A669D">
              <w:rPr>
                <w:color w:val="000000" w:themeColor="text1"/>
              </w:rPr>
              <w:t>Найменування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</w:rPr>
            </w:pPr>
            <w:proofErr w:type="spellStart"/>
            <w:r w:rsidRPr="000A669D">
              <w:rPr>
                <w:color w:val="000000" w:themeColor="text1"/>
              </w:rPr>
              <w:t>Орендна</w:t>
            </w:r>
            <w:proofErr w:type="spellEnd"/>
            <w:r w:rsidRPr="000A669D">
              <w:rPr>
                <w:color w:val="000000" w:themeColor="text1"/>
              </w:rPr>
              <w:t xml:space="preserve"> ставка, </w:t>
            </w:r>
            <w:proofErr w:type="spellStart"/>
            <w:r w:rsidRPr="000A669D">
              <w:rPr>
                <w:color w:val="000000" w:themeColor="text1"/>
              </w:rPr>
              <w:t>відсоткі</w:t>
            </w:r>
            <w:proofErr w:type="gramStart"/>
            <w:r w:rsidRPr="000A669D">
              <w:rPr>
                <w:color w:val="000000" w:themeColor="text1"/>
              </w:rPr>
              <w:t>в</w:t>
            </w:r>
            <w:proofErr w:type="spellEnd"/>
            <w:proofErr w:type="gramEnd"/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F2B" w:rsidRPr="000A669D" w:rsidRDefault="00455F2B" w:rsidP="009D6B78">
            <w:pPr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Розміщення: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</w:rPr>
            </w:pP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Фінансових установ, банкоматів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30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</w:rPr>
            </w:pPr>
            <w:proofErr w:type="spellStart"/>
            <w:r w:rsidRPr="000A669D">
              <w:rPr>
                <w:color w:val="000000" w:themeColor="text1"/>
              </w:rPr>
              <w:t>шкіл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курсів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з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навчання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водіїв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автомобілі</w:t>
            </w:r>
            <w:proofErr w:type="gramStart"/>
            <w:r w:rsidRPr="000A669D">
              <w:rPr>
                <w:color w:val="000000" w:themeColor="text1"/>
              </w:rPr>
              <w:t>в</w:t>
            </w:r>
            <w:proofErr w:type="spellEnd"/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10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офісних приміщень, крім офісних приміщень операторів телекомунікацій, які надають послуги рухомого (мобільного) зв’язку, операторів та провайдерів телекомунікацій, які надають послуги доступу до Інтернету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18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технічних засобів і антен операторів телекомунікацій, які надають послуги рухомого (мобільного) зв’язку, операторів та провайдерів телекомунікацій, які надають послуги доступу до Інтернету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18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</w:rPr>
            </w:pPr>
            <w:proofErr w:type="spellStart"/>
            <w:r w:rsidRPr="000A669D">
              <w:rPr>
                <w:color w:val="000000" w:themeColor="text1"/>
              </w:rPr>
              <w:t>суб’єктів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господарювання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що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здійснюють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проектні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проектно-вишукувальні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проектно-конструкторські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роботи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10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</w:rPr>
            </w:pPr>
            <w:r w:rsidRPr="000A669D">
              <w:rPr>
                <w:color w:val="000000" w:themeColor="text1"/>
              </w:rPr>
              <w:t xml:space="preserve">кафе, </w:t>
            </w:r>
            <w:proofErr w:type="spellStart"/>
            <w:r w:rsidRPr="000A669D">
              <w:rPr>
                <w:color w:val="000000" w:themeColor="text1"/>
              </w:rPr>
              <w:t>барів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закусочних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кафетеріїв</w:t>
            </w:r>
            <w:proofErr w:type="spellEnd"/>
            <w:r w:rsidRPr="000A669D">
              <w:rPr>
                <w:color w:val="000000" w:themeColor="text1"/>
              </w:rPr>
              <w:t xml:space="preserve">, </w:t>
            </w:r>
            <w:proofErr w:type="spellStart"/>
            <w:r w:rsidRPr="000A669D">
              <w:rPr>
                <w:color w:val="000000" w:themeColor="text1"/>
              </w:rPr>
              <w:t>які</w:t>
            </w:r>
            <w:proofErr w:type="spellEnd"/>
            <w:r w:rsidRPr="000A669D">
              <w:rPr>
                <w:color w:val="000000" w:themeColor="text1"/>
              </w:rPr>
              <w:t xml:space="preserve"> не </w:t>
            </w:r>
            <w:proofErr w:type="spellStart"/>
            <w:r w:rsidRPr="000A669D">
              <w:rPr>
                <w:color w:val="000000" w:themeColor="text1"/>
              </w:rPr>
              <w:t>здійснюють</w:t>
            </w:r>
            <w:proofErr w:type="spellEnd"/>
            <w:r w:rsidRPr="000A669D">
              <w:rPr>
                <w:color w:val="000000" w:themeColor="text1"/>
              </w:rPr>
              <w:t xml:space="preserve"> продаж </w:t>
            </w:r>
            <w:proofErr w:type="spellStart"/>
            <w:r w:rsidRPr="000A669D">
              <w:rPr>
                <w:color w:val="000000" w:themeColor="text1"/>
              </w:rPr>
              <w:t>товарів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0A669D">
              <w:rPr>
                <w:color w:val="000000" w:themeColor="text1"/>
              </w:rPr>
              <w:t>п</w:t>
            </w:r>
            <w:proofErr w:type="gramEnd"/>
            <w:r w:rsidRPr="000A669D">
              <w:rPr>
                <w:color w:val="000000" w:themeColor="text1"/>
              </w:rPr>
              <w:t>ідакцизної</w:t>
            </w:r>
            <w:proofErr w:type="spellEnd"/>
            <w:r w:rsidRPr="000A669D">
              <w:rPr>
                <w:color w:val="000000" w:themeColor="text1"/>
              </w:rPr>
              <w:t xml:space="preserve"> </w:t>
            </w:r>
            <w:proofErr w:type="spellStart"/>
            <w:r w:rsidRPr="000A669D">
              <w:rPr>
                <w:color w:val="000000" w:themeColor="text1"/>
              </w:rPr>
              <w:t>групи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8</w:t>
            </w:r>
          </w:p>
        </w:tc>
      </w:tr>
      <w:tr w:rsidR="00455F2B" w:rsidRPr="000A669D" w:rsidTr="009D6B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7</w:t>
            </w:r>
            <w:r w:rsidR="009D6B78" w:rsidRPr="000A669D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9D6B78">
            <w:pPr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кафе, барів, закусочних, буфетів, кафетеріїв, що здійснюють продаж товарів підакцизної групи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F2B" w:rsidRPr="000A669D" w:rsidRDefault="00455F2B" w:rsidP="00C96E54">
            <w:pPr>
              <w:jc w:val="center"/>
              <w:rPr>
                <w:color w:val="000000" w:themeColor="text1"/>
                <w:lang w:val="uk-UA"/>
              </w:rPr>
            </w:pPr>
            <w:r w:rsidRPr="000A669D">
              <w:rPr>
                <w:color w:val="000000" w:themeColor="text1"/>
                <w:lang w:val="uk-UA"/>
              </w:rPr>
              <w:t>15</w:t>
            </w:r>
          </w:p>
        </w:tc>
      </w:tr>
    </w:tbl>
    <w:p w:rsidR="00455F2B" w:rsidRPr="000A669D" w:rsidRDefault="009D6B78" w:rsidP="009D6B78">
      <w:pPr>
        <w:jc w:val="center"/>
        <w:rPr>
          <w:rFonts w:eastAsia="Times New Roman"/>
          <w:color w:val="000000" w:themeColor="text1"/>
          <w:lang w:val="uk-UA" w:eastAsia="ru-RU"/>
        </w:rPr>
      </w:pPr>
      <w:r w:rsidRPr="000A669D">
        <w:rPr>
          <w:rFonts w:eastAsia="Times New Roman"/>
          <w:color w:val="000000" w:themeColor="text1"/>
          <w:lang w:val="uk-UA" w:eastAsia="ru-RU"/>
        </w:rPr>
        <w:t>__________________</w:t>
      </w:r>
    </w:p>
    <w:p w:rsidR="009D6B78" w:rsidRPr="000A669D" w:rsidRDefault="009D6B78" w:rsidP="00455F2B">
      <w:pPr>
        <w:rPr>
          <w:rFonts w:eastAsia="Times New Roman"/>
          <w:color w:val="000000" w:themeColor="text1"/>
          <w:lang w:val="uk-UA" w:eastAsia="ru-RU"/>
        </w:rPr>
      </w:pPr>
    </w:p>
    <w:p w:rsidR="009D6B78" w:rsidRPr="000A669D" w:rsidRDefault="009D6B78" w:rsidP="00455F2B">
      <w:pPr>
        <w:rPr>
          <w:rFonts w:eastAsia="Times New Roman"/>
          <w:color w:val="000000" w:themeColor="text1"/>
          <w:lang w:val="uk-UA" w:eastAsia="ru-RU"/>
        </w:rPr>
      </w:pPr>
    </w:p>
    <w:p w:rsidR="00455F2B" w:rsidRPr="000A669D" w:rsidRDefault="00455F2B" w:rsidP="00455F2B">
      <w:pPr>
        <w:rPr>
          <w:rFonts w:eastAsia="Times New Roman"/>
          <w:color w:val="000000" w:themeColor="text1"/>
          <w:lang w:val="uk-UA" w:eastAsia="ru-RU"/>
        </w:rPr>
      </w:pPr>
      <w:proofErr w:type="spellStart"/>
      <w:r w:rsidRPr="000A669D">
        <w:rPr>
          <w:rFonts w:eastAsia="Times New Roman"/>
          <w:color w:val="000000" w:themeColor="text1"/>
          <w:lang w:eastAsia="ru-RU"/>
        </w:rPr>
        <w:t>Секретар</w:t>
      </w:r>
      <w:proofErr w:type="spellEnd"/>
      <w:r w:rsidRPr="000A669D">
        <w:rPr>
          <w:rFonts w:eastAsia="Times New Roman"/>
          <w:color w:val="000000" w:themeColor="text1"/>
          <w:lang w:eastAsia="ru-RU"/>
        </w:rPr>
        <w:t xml:space="preserve"> ради </w:t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</w:r>
      <w:r w:rsidRPr="000A669D">
        <w:rPr>
          <w:rFonts w:eastAsia="Times New Roman"/>
          <w:color w:val="000000" w:themeColor="text1"/>
          <w:lang w:val="uk-UA" w:eastAsia="ru-RU"/>
        </w:rPr>
        <w:tab/>
        <w:t xml:space="preserve">          Любов МАКСІМКІ</w:t>
      </w:r>
      <w:proofErr w:type="gramStart"/>
      <w:r w:rsidRPr="000A669D">
        <w:rPr>
          <w:rFonts w:eastAsia="Times New Roman"/>
          <w:color w:val="000000" w:themeColor="text1"/>
          <w:lang w:val="uk-UA" w:eastAsia="ru-RU"/>
        </w:rPr>
        <w:t>НА</w:t>
      </w:r>
      <w:proofErr w:type="gramEnd"/>
    </w:p>
    <w:p w:rsidR="005551C9" w:rsidRPr="000A669D" w:rsidRDefault="005551C9">
      <w:pPr>
        <w:rPr>
          <w:color w:val="000000" w:themeColor="text1"/>
          <w:lang w:val="uk-UA"/>
        </w:rPr>
      </w:pPr>
    </w:p>
    <w:sectPr w:rsidR="005551C9" w:rsidRPr="000A669D" w:rsidSect="00455F2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C9" w:rsidRDefault="00EF4AC9" w:rsidP="00455F2B">
      <w:r>
        <w:separator/>
      </w:r>
    </w:p>
  </w:endnote>
  <w:endnote w:type="continuationSeparator" w:id="0">
    <w:p w:rsidR="00EF4AC9" w:rsidRDefault="00EF4AC9" w:rsidP="0045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C9" w:rsidRDefault="00EF4AC9" w:rsidP="00455F2B">
      <w:r>
        <w:separator/>
      </w:r>
    </w:p>
  </w:footnote>
  <w:footnote w:type="continuationSeparator" w:id="0">
    <w:p w:rsidR="00EF4AC9" w:rsidRDefault="00EF4AC9" w:rsidP="00455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888"/>
      <w:docPartObj>
        <w:docPartGallery w:val="Page Numbers (Top of Page)"/>
        <w:docPartUnique/>
      </w:docPartObj>
    </w:sdtPr>
    <w:sdtContent>
      <w:p w:rsidR="00455F2B" w:rsidRDefault="00C04401" w:rsidP="00455F2B">
        <w:pPr>
          <w:pStyle w:val="a6"/>
          <w:jc w:val="right"/>
        </w:pPr>
        <w:r>
          <w:fldChar w:fldCharType="begin"/>
        </w:r>
        <w:r w:rsidR="00B3494E">
          <w:instrText xml:space="preserve"> PAGE   \* MERGEFORMAT </w:instrText>
        </w:r>
        <w:r>
          <w:fldChar w:fldCharType="separate"/>
        </w:r>
        <w:r w:rsidR="000A669D">
          <w:rPr>
            <w:noProof/>
          </w:rPr>
          <w:t>5</w:t>
        </w:r>
        <w:r>
          <w:rPr>
            <w:noProof/>
          </w:rPr>
          <w:fldChar w:fldCharType="end"/>
        </w:r>
        <w:r w:rsidR="00455F2B">
          <w:rPr>
            <w:lang w:val="uk-UA"/>
          </w:rPr>
          <w:t xml:space="preserve">                                           Продовження додатка 4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F2B"/>
    <w:rsid w:val="000958FE"/>
    <w:rsid w:val="000A669D"/>
    <w:rsid w:val="00364743"/>
    <w:rsid w:val="00455F2B"/>
    <w:rsid w:val="005010CB"/>
    <w:rsid w:val="005551C9"/>
    <w:rsid w:val="0058026C"/>
    <w:rsid w:val="00603C9A"/>
    <w:rsid w:val="00736CF8"/>
    <w:rsid w:val="008153F1"/>
    <w:rsid w:val="00896AFB"/>
    <w:rsid w:val="009D6B78"/>
    <w:rsid w:val="00A17767"/>
    <w:rsid w:val="00A43E84"/>
    <w:rsid w:val="00A818F4"/>
    <w:rsid w:val="00B3494E"/>
    <w:rsid w:val="00BF6743"/>
    <w:rsid w:val="00C04401"/>
    <w:rsid w:val="00C3608D"/>
    <w:rsid w:val="00D95A88"/>
    <w:rsid w:val="00E8278E"/>
    <w:rsid w:val="00E96AF2"/>
    <w:rsid w:val="00EC48A9"/>
    <w:rsid w:val="00EF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2B"/>
    <w:rPr>
      <w:color w:val="0000FF"/>
      <w:u w:val="single"/>
    </w:rPr>
  </w:style>
  <w:style w:type="paragraph" w:customStyle="1" w:styleId="rvps2">
    <w:name w:val="rvps2"/>
    <w:basedOn w:val="a"/>
    <w:rsid w:val="00455F2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F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5F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5F2B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55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5F2B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010C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30-2021-%D0%BF?find=1&amp;text=%D1%81%D0%BE%D1%86+%D0%B2%D0%B0%D0%B6%D0%BB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Maximkina</cp:lastModifiedBy>
  <cp:revision>12</cp:revision>
  <cp:lastPrinted>2023-01-12T09:42:00Z</cp:lastPrinted>
  <dcterms:created xsi:type="dcterms:W3CDTF">2023-01-09T07:43:00Z</dcterms:created>
  <dcterms:modified xsi:type="dcterms:W3CDTF">2023-01-12T09:42:00Z</dcterms:modified>
</cp:coreProperties>
</file>