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36"/>
      </w:tblGrid>
      <w:tr w:rsidR="00073DA5" w:rsidTr="00073DA5">
        <w:tc>
          <w:tcPr>
            <w:tcW w:w="5637" w:type="dxa"/>
          </w:tcPr>
          <w:p w:rsidR="00073DA5" w:rsidRDefault="00073DA5" w:rsidP="008F2FA3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073DA5" w:rsidRDefault="00073DA5" w:rsidP="008F2FA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Додаток 1</w:t>
            </w:r>
          </w:p>
          <w:p w:rsidR="00073DA5" w:rsidRDefault="00073DA5" w:rsidP="008F2FA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селищної Програми мобілізаційної підготовки та оборонної роботи на території Межівської селищної територіальної громади на 2024-2026 роки</w:t>
            </w:r>
          </w:p>
        </w:tc>
      </w:tr>
    </w:tbl>
    <w:p w:rsidR="00073DA5" w:rsidRDefault="00073DA5" w:rsidP="00073DA5">
      <w:pPr>
        <w:pStyle w:val="a4"/>
        <w:rPr>
          <w:rFonts w:ascii="Times New Roman" w:hAnsi="Times New Roman"/>
          <w:lang w:eastAsia="ru-RU"/>
        </w:rPr>
      </w:pPr>
    </w:p>
    <w:p w:rsidR="00073DA5" w:rsidRPr="00AA4A41" w:rsidRDefault="00073DA5" w:rsidP="00073DA5">
      <w:pPr>
        <w:jc w:val="center"/>
        <w:rPr>
          <w:b/>
          <w:color w:val="auto"/>
          <w:szCs w:val="24"/>
          <w:lang w:val="uk-UA"/>
        </w:rPr>
      </w:pPr>
      <w:r w:rsidRPr="00AA4A41">
        <w:rPr>
          <w:b/>
          <w:color w:val="auto"/>
          <w:szCs w:val="24"/>
          <w:lang w:val="uk-UA"/>
        </w:rPr>
        <w:t>ПАСПОРТ</w:t>
      </w:r>
    </w:p>
    <w:p w:rsidR="00073DA5" w:rsidRPr="00AA4A41" w:rsidRDefault="00073DA5" w:rsidP="00073DA5">
      <w:pPr>
        <w:jc w:val="center"/>
        <w:rPr>
          <w:b/>
          <w:color w:val="auto"/>
          <w:szCs w:val="24"/>
          <w:lang w:val="uk-UA"/>
        </w:rPr>
      </w:pPr>
      <w:r w:rsidRPr="00AA4A41">
        <w:rPr>
          <w:b/>
          <w:color w:val="auto"/>
          <w:szCs w:val="24"/>
          <w:lang w:val="uk-UA"/>
        </w:rPr>
        <w:t>селищної Програми мобілізаційної підготовки та оборонної роботи на території Межівської селищно</w:t>
      </w:r>
      <w:bookmarkStart w:id="0" w:name="_GoBack"/>
      <w:bookmarkEnd w:id="0"/>
      <w:r w:rsidRPr="00AA4A41">
        <w:rPr>
          <w:b/>
          <w:color w:val="auto"/>
          <w:szCs w:val="24"/>
          <w:lang w:val="uk-UA"/>
        </w:rPr>
        <w:t>ї територіальної громади на 2024</w:t>
      </w:r>
      <w:r>
        <w:rPr>
          <w:b/>
          <w:color w:val="auto"/>
          <w:szCs w:val="24"/>
          <w:lang w:val="uk-UA"/>
        </w:rPr>
        <w:t>-</w:t>
      </w:r>
      <w:r w:rsidRPr="00AA4A41">
        <w:rPr>
          <w:b/>
          <w:color w:val="auto"/>
          <w:szCs w:val="24"/>
          <w:lang w:val="uk-UA"/>
        </w:rPr>
        <w:t>2026 роки</w:t>
      </w:r>
    </w:p>
    <w:p w:rsidR="00073DA5" w:rsidRPr="00743D61" w:rsidRDefault="00073DA5" w:rsidP="00073DA5">
      <w:pPr>
        <w:jc w:val="center"/>
        <w:rPr>
          <w:color w:val="auto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3730"/>
        <w:gridCol w:w="1701"/>
        <w:gridCol w:w="1276"/>
        <w:gridCol w:w="1276"/>
        <w:gridCol w:w="1275"/>
      </w:tblGrid>
      <w:tr w:rsidR="00073DA5" w:rsidRPr="00111BD0" w:rsidTr="00073DA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1</w:t>
            </w:r>
          </w:p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 xml:space="preserve">Назва </w:t>
            </w:r>
            <w:r>
              <w:rPr>
                <w:color w:val="auto"/>
                <w:szCs w:val="24"/>
                <w:lang w:val="uk-UA"/>
              </w:rPr>
              <w:t>П</w:t>
            </w:r>
            <w:r w:rsidRPr="00743D61">
              <w:rPr>
                <w:color w:val="auto"/>
                <w:szCs w:val="24"/>
                <w:lang w:val="uk-UA"/>
              </w:rPr>
              <w:t>рограми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5" w:rsidRPr="00C40487" w:rsidRDefault="00073DA5" w:rsidP="00073DA5">
            <w:pPr>
              <w:rPr>
                <w:color w:val="auto"/>
                <w:szCs w:val="24"/>
                <w:lang w:val="uk-UA"/>
              </w:rPr>
            </w:pPr>
            <w:r w:rsidRPr="00C40487">
              <w:rPr>
                <w:color w:val="auto"/>
                <w:szCs w:val="24"/>
                <w:lang w:val="uk-UA"/>
              </w:rPr>
              <w:t xml:space="preserve">Селищна Програма мобілізаційної підготовки та </w:t>
            </w:r>
            <w:r>
              <w:rPr>
                <w:color w:val="auto"/>
                <w:szCs w:val="24"/>
                <w:lang w:val="uk-UA"/>
              </w:rPr>
              <w:t>оборонної роботи на території Межівської селищної територіальної громади на 2024-2026</w:t>
            </w:r>
            <w:r w:rsidRPr="00C40487">
              <w:rPr>
                <w:color w:val="auto"/>
                <w:szCs w:val="24"/>
                <w:lang w:val="uk-UA"/>
              </w:rPr>
              <w:t xml:space="preserve"> роки</w:t>
            </w:r>
          </w:p>
        </w:tc>
      </w:tr>
      <w:tr w:rsidR="00073DA5" w:rsidRPr="00591D17" w:rsidTr="00073DA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Підстава для розроблення</w:t>
            </w:r>
            <w:r w:rsidRPr="00743D61">
              <w:rPr>
                <w:szCs w:val="24"/>
                <w:lang w:val="uk-UA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051DB3" w:rsidRDefault="00073DA5" w:rsidP="00073DA5">
            <w:pPr>
              <w:rPr>
                <w:color w:val="auto"/>
                <w:szCs w:val="24"/>
                <w:lang w:val="uk-UA"/>
              </w:rPr>
            </w:pPr>
            <w:r>
              <w:rPr>
                <w:rFonts w:eastAsia="Calibri"/>
                <w:bCs/>
                <w:color w:val="auto"/>
                <w:lang w:val="uk-UA"/>
              </w:rPr>
              <w:t>З</w:t>
            </w:r>
            <w:proofErr w:type="spellStart"/>
            <w:r>
              <w:rPr>
                <w:rFonts w:eastAsia="Calibri"/>
                <w:bCs/>
                <w:color w:val="auto"/>
              </w:rPr>
              <w:t>акон</w:t>
            </w:r>
            <w:proofErr w:type="spellEnd"/>
            <w:r>
              <w:rPr>
                <w:rFonts w:eastAsia="Calibri"/>
                <w:bCs/>
                <w:color w:val="auto"/>
                <w:lang w:val="uk-UA"/>
              </w:rPr>
              <w:t>и</w:t>
            </w:r>
            <w:r w:rsidRPr="00051DB3">
              <w:rPr>
                <w:rFonts w:eastAsia="Calibri"/>
                <w:bCs/>
                <w:color w:val="auto"/>
              </w:rPr>
              <w:t xml:space="preserve"> </w:t>
            </w:r>
            <w:proofErr w:type="spellStart"/>
            <w:r w:rsidRPr="00051DB3">
              <w:rPr>
                <w:rFonts w:eastAsia="Calibri"/>
                <w:bCs/>
                <w:color w:val="auto"/>
              </w:rPr>
              <w:t>України</w:t>
            </w:r>
            <w:proofErr w:type="spellEnd"/>
            <w:r w:rsidRPr="00051DB3">
              <w:rPr>
                <w:rFonts w:eastAsia="Calibri"/>
                <w:bCs/>
                <w:color w:val="auto"/>
              </w:rPr>
              <w:t xml:space="preserve"> «Про оборону </w:t>
            </w:r>
            <w:proofErr w:type="spellStart"/>
            <w:r w:rsidRPr="00051DB3">
              <w:rPr>
                <w:rFonts w:eastAsia="Calibri"/>
                <w:bCs/>
                <w:color w:val="auto"/>
              </w:rPr>
              <w:t>України</w:t>
            </w:r>
            <w:proofErr w:type="spellEnd"/>
            <w:r w:rsidRPr="00051DB3">
              <w:rPr>
                <w:rFonts w:eastAsia="Calibri"/>
                <w:bCs/>
                <w:color w:val="auto"/>
              </w:rPr>
              <w:t xml:space="preserve">», «Про </w:t>
            </w:r>
            <w:proofErr w:type="spellStart"/>
            <w:r w:rsidRPr="00051DB3">
              <w:rPr>
                <w:rFonts w:eastAsia="Calibri"/>
                <w:bCs/>
                <w:color w:val="auto"/>
              </w:rPr>
              <w:t>основи</w:t>
            </w:r>
            <w:proofErr w:type="spellEnd"/>
            <w:r w:rsidRPr="00051DB3">
              <w:rPr>
                <w:rFonts w:eastAsia="Calibri"/>
                <w:bCs/>
                <w:color w:val="auto"/>
              </w:rPr>
              <w:t xml:space="preserve"> </w:t>
            </w:r>
            <w:proofErr w:type="spellStart"/>
            <w:r w:rsidRPr="00051DB3">
              <w:rPr>
                <w:rFonts w:eastAsia="Calibri"/>
                <w:bCs/>
                <w:color w:val="auto"/>
              </w:rPr>
              <w:t>національного</w:t>
            </w:r>
            <w:proofErr w:type="spellEnd"/>
            <w:r w:rsidRPr="00051DB3">
              <w:rPr>
                <w:rFonts w:eastAsia="Calibri"/>
                <w:bCs/>
                <w:color w:val="auto"/>
              </w:rPr>
              <w:t xml:space="preserve"> </w:t>
            </w:r>
            <w:proofErr w:type="spellStart"/>
            <w:r w:rsidRPr="00051DB3">
              <w:rPr>
                <w:rFonts w:eastAsia="Calibri"/>
                <w:bCs/>
                <w:color w:val="auto"/>
              </w:rPr>
              <w:t>спротиву</w:t>
            </w:r>
            <w:proofErr w:type="spellEnd"/>
            <w:r w:rsidRPr="00051DB3">
              <w:rPr>
                <w:rFonts w:eastAsia="Calibri"/>
                <w:bCs/>
                <w:color w:val="auto"/>
              </w:rPr>
              <w:t xml:space="preserve">», «Про </w:t>
            </w:r>
            <w:proofErr w:type="spellStart"/>
            <w:r w:rsidRPr="00051DB3">
              <w:rPr>
                <w:rFonts w:eastAsia="Calibri"/>
                <w:bCs/>
                <w:color w:val="auto"/>
              </w:rPr>
              <w:t>військовий</w:t>
            </w:r>
            <w:proofErr w:type="spellEnd"/>
            <w:r w:rsidRPr="00051DB3">
              <w:rPr>
                <w:rFonts w:eastAsia="Calibri"/>
                <w:bCs/>
                <w:color w:val="auto"/>
              </w:rPr>
              <w:t xml:space="preserve"> </w:t>
            </w:r>
            <w:proofErr w:type="spellStart"/>
            <w:r w:rsidRPr="00051DB3">
              <w:rPr>
                <w:rFonts w:eastAsia="Calibri"/>
                <w:bCs/>
                <w:color w:val="auto"/>
              </w:rPr>
              <w:t>обов’язок</w:t>
            </w:r>
            <w:proofErr w:type="spellEnd"/>
            <w:r w:rsidRPr="00051DB3">
              <w:rPr>
                <w:rFonts w:eastAsia="Calibri"/>
                <w:bCs/>
                <w:color w:val="auto"/>
              </w:rPr>
              <w:t xml:space="preserve"> </w:t>
            </w:r>
            <w:proofErr w:type="spellStart"/>
            <w:r w:rsidRPr="00051DB3">
              <w:rPr>
                <w:rFonts w:eastAsia="Calibri"/>
                <w:bCs/>
                <w:color w:val="auto"/>
              </w:rPr>
              <w:t>і</w:t>
            </w:r>
            <w:proofErr w:type="spellEnd"/>
            <w:r w:rsidRPr="00051DB3">
              <w:rPr>
                <w:rFonts w:eastAsia="Calibri"/>
                <w:bCs/>
                <w:color w:val="auto"/>
              </w:rPr>
              <w:t xml:space="preserve"> </w:t>
            </w:r>
            <w:proofErr w:type="spellStart"/>
            <w:r w:rsidRPr="00051DB3">
              <w:rPr>
                <w:rFonts w:eastAsia="Calibri"/>
                <w:bCs/>
                <w:color w:val="auto"/>
              </w:rPr>
              <w:t>військову</w:t>
            </w:r>
            <w:proofErr w:type="spellEnd"/>
            <w:r w:rsidRPr="00051DB3">
              <w:rPr>
                <w:rFonts w:eastAsia="Calibri"/>
                <w:bCs/>
                <w:color w:val="auto"/>
              </w:rPr>
              <w:t xml:space="preserve"> службу», «Про </w:t>
            </w:r>
            <w:proofErr w:type="spellStart"/>
            <w:r w:rsidRPr="00051DB3">
              <w:rPr>
                <w:rFonts w:eastAsia="Calibri"/>
                <w:bCs/>
                <w:color w:val="auto"/>
              </w:rPr>
              <w:t>мобілізаційну</w:t>
            </w:r>
            <w:proofErr w:type="spellEnd"/>
            <w:r w:rsidRPr="00051DB3">
              <w:rPr>
                <w:rFonts w:eastAsia="Calibri"/>
                <w:bCs/>
                <w:color w:val="auto"/>
              </w:rPr>
              <w:t xml:space="preserve"> </w:t>
            </w:r>
            <w:proofErr w:type="spellStart"/>
            <w:r w:rsidRPr="00051DB3">
              <w:rPr>
                <w:rFonts w:eastAsia="Calibri"/>
                <w:bCs/>
                <w:color w:val="auto"/>
              </w:rPr>
              <w:t>підготовку</w:t>
            </w:r>
            <w:proofErr w:type="spellEnd"/>
            <w:r w:rsidRPr="00051DB3">
              <w:rPr>
                <w:rFonts w:eastAsia="Calibri"/>
                <w:bCs/>
                <w:color w:val="auto"/>
              </w:rPr>
              <w:t xml:space="preserve"> та </w:t>
            </w:r>
            <w:proofErr w:type="spellStart"/>
            <w:r w:rsidRPr="00051DB3">
              <w:rPr>
                <w:rFonts w:eastAsia="Calibri"/>
                <w:bCs/>
                <w:color w:val="auto"/>
              </w:rPr>
              <w:t>мобілізацію</w:t>
            </w:r>
            <w:proofErr w:type="spellEnd"/>
            <w:r w:rsidRPr="00051DB3">
              <w:rPr>
                <w:rFonts w:eastAsia="Calibri"/>
                <w:bCs/>
                <w:color w:val="auto"/>
              </w:rPr>
              <w:t>»</w:t>
            </w:r>
          </w:p>
        </w:tc>
      </w:tr>
      <w:tr w:rsidR="00073DA5" w:rsidRPr="00743D61" w:rsidTr="00073DA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 xml:space="preserve">Ініціатор розроблення </w:t>
            </w:r>
            <w:r>
              <w:rPr>
                <w:color w:val="auto"/>
                <w:szCs w:val="24"/>
                <w:lang w:val="uk-UA"/>
              </w:rPr>
              <w:t>П</w:t>
            </w:r>
            <w:r w:rsidRPr="00743D61">
              <w:rPr>
                <w:color w:val="auto"/>
                <w:szCs w:val="24"/>
                <w:lang w:val="uk-UA"/>
              </w:rPr>
              <w:t>рограми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073DA5">
            <w:pPr>
              <w:rPr>
                <w:color w:val="FF0000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Виконавчий комітет Межівської селищної ради</w:t>
            </w:r>
          </w:p>
        </w:tc>
      </w:tr>
      <w:tr w:rsidR="00073DA5" w:rsidRPr="00F70BEF" w:rsidTr="00073DA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 xml:space="preserve">Розробник </w:t>
            </w:r>
            <w:r>
              <w:rPr>
                <w:color w:val="auto"/>
                <w:szCs w:val="24"/>
                <w:lang w:val="uk-UA"/>
              </w:rPr>
              <w:t>П</w:t>
            </w:r>
            <w:r w:rsidRPr="00743D61">
              <w:rPr>
                <w:color w:val="auto"/>
                <w:szCs w:val="24"/>
                <w:lang w:val="uk-UA"/>
              </w:rPr>
              <w:t>рограми</w:t>
            </w:r>
          </w:p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C40487" w:rsidRDefault="00073DA5" w:rsidP="00073DA5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Сектор з питань цивільного захисту, надзвичайних ситуацій, мобілізаційної та оборонної роботи виконавчого комітету Межівської селищної ради</w:t>
            </w:r>
          </w:p>
        </w:tc>
      </w:tr>
      <w:tr w:rsidR="00073DA5" w:rsidRPr="00F70BEF" w:rsidTr="00073DA5">
        <w:trPr>
          <w:trHeight w:val="5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 xml:space="preserve">Відповідальний виконавець </w:t>
            </w:r>
            <w:r>
              <w:rPr>
                <w:color w:val="auto"/>
                <w:szCs w:val="24"/>
                <w:lang w:val="uk-UA"/>
              </w:rPr>
              <w:t>П</w:t>
            </w:r>
            <w:r w:rsidRPr="00743D61">
              <w:rPr>
                <w:color w:val="auto"/>
                <w:szCs w:val="24"/>
                <w:lang w:val="uk-UA"/>
              </w:rPr>
              <w:t>рограми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Default="00073DA5" w:rsidP="00073DA5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Виконавчий комітет Межівської селищної ради</w:t>
            </w:r>
          </w:p>
          <w:p w:rsidR="00F70BEF" w:rsidRPr="00585F6F" w:rsidRDefault="00F70BEF" w:rsidP="00073DA5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сектор з питань цивільного захисту, надзвичайних ситуацій, мобілізаційної та оборонної роботи виконавчого комітету Межівської селищної ради</w:t>
            </w:r>
          </w:p>
        </w:tc>
      </w:tr>
      <w:tr w:rsidR="00073DA5" w:rsidRPr="00F70BEF" w:rsidTr="00073DA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Мета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4102C6" w:rsidRDefault="00073DA5" w:rsidP="00073DA5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 w:eastAsia="uk-UA"/>
              </w:rPr>
              <w:t>П</w:t>
            </w:r>
            <w:r w:rsidRPr="008162A5">
              <w:rPr>
                <w:color w:val="auto"/>
                <w:szCs w:val="24"/>
                <w:lang w:val="uk-UA" w:eastAsia="uk-UA"/>
              </w:rPr>
              <w:t xml:space="preserve">ідтримання бойової і мобілізаційної готовності Збройних </w:t>
            </w:r>
            <w:r>
              <w:rPr>
                <w:color w:val="auto"/>
                <w:szCs w:val="24"/>
                <w:lang w:val="uk-UA" w:eastAsia="uk-UA"/>
              </w:rPr>
              <w:t>С</w:t>
            </w:r>
            <w:r w:rsidRPr="008162A5">
              <w:rPr>
                <w:color w:val="auto"/>
                <w:szCs w:val="24"/>
                <w:lang w:val="uk-UA" w:eastAsia="uk-UA"/>
              </w:rPr>
              <w:t>ил України та інших військових формувань шляхом забезпечення мобілізаційної підготовки, готовності до</w:t>
            </w:r>
            <w:r>
              <w:rPr>
                <w:color w:val="auto"/>
                <w:szCs w:val="24"/>
                <w:lang w:val="uk-UA" w:eastAsia="uk-UA"/>
              </w:rPr>
              <w:t xml:space="preserve"> проведення заходів мобілізації, </w:t>
            </w:r>
            <w:r w:rsidRPr="008162A5">
              <w:rPr>
                <w:color w:val="auto"/>
                <w:szCs w:val="24"/>
                <w:lang w:val="uk-UA" w:eastAsia="uk-UA"/>
              </w:rPr>
              <w:t>підготовки громадян допризовного і призовного віку до військової служби</w:t>
            </w:r>
          </w:p>
        </w:tc>
      </w:tr>
      <w:tr w:rsidR="00073DA5" w:rsidRPr="00743D61" w:rsidTr="00073DA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Строк</w:t>
            </w:r>
            <w:r w:rsidRPr="00743D61">
              <w:rPr>
                <w:color w:val="auto"/>
                <w:szCs w:val="24"/>
                <w:lang w:val="uk-UA"/>
              </w:rPr>
              <w:t xml:space="preserve"> реалізації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rPr>
                <w:color w:val="FF0000"/>
                <w:szCs w:val="24"/>
              </w:rPr>
            </w:pPr>
            <w:r>
              <w:rPr>
                <w:color w:val="auto"/>
                <w:szCs w:val="24"/>
                <w:lang w:val="uk-UA"/>
              </w:rPr>
              <w:t>2024-2026</w:t>
            </w:r>
            <w:r w:rsidRPr="00743D61">
              <w:rPr>
                <w:color w:val="auto"/>
                <w:szCs w:val="24"/>
                <w:lang w:val="uk-UA"/>
              </w:rPr>
              <w:t xml:space="preserve"> роки</w:t>
            </w:r>
          </w:p>
        </w:tc>
      </w:tr>
      <w:tr w:rsidR="00073DA5" w:rsidRPr="00743D61" w:rsidTr="00073DA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Етапи виконання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Програма виконується в один етап</w:t>
            </w:r>
          </w:p>
        </w:tc>
      </w:tr>
      <w:tr w:rsidR="00073DA5" w:rsidRPr="00743D61" w:rsidTr="00073DA5">
        <w:trPr>
          <w:trHeight w:val="39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9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5" w:rsidRDefault="00073DA5" w:rsidP="008F2FA3">
            <w:pPr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>Загальні обсяги фінансування</w:t>
            </w:r>
          </w:p>
          <w:p w:rsidR="00073DA5" w:rsidRPr="00466138" w:rsidRDefault="00073DA5" w:rsidP="008F2FA3">
            <w:pPr>
              <w:rPr>
                <w:color w:val="auto"/>
                <w:szCs w:val="24"/>
                <w:lang w:val="uk-UA"/>
              </w:rPr>
            </w:pPr>
          </w:p>
          <w:p w:rsidR="00073DA5" w:rsidRPr="00466138" w:rsidRDefault="00073DA5" w:rsidP="008F2FA3">
            <w:pPr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DA5" w:rsidRPr="00466138" w:rsidRDefault="00073DA5" w:rsidP="008F2FA3">
            <w:pPr>
              <w:shd w:val="clear" w:color="auto" w:fill="FFFFFF"/>
              <w:tabs>
                <w:tab w:val="left" w:pos="9540"/>
              </w:tabs>
              <w:spacing w:line="221" w:lineRule="auto"/>
              <w:jc w:val="center"/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>Обсяги фінансування, усього,</w:t>
            </w:r>
          </w:p>
          <w:p w:rsidR="00073DA5" w:rsidRPr="00466138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>тис. грн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5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>За роками виконання,</w:t>
            </w:r>
          </w:p>
          <w:p w:rsidR="00073DA5" w:rsidRPr="00466138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 xml:space="preserve">тис. грн </w:t>
            </w:r>
          </w:p>
        </w:tc>
      </w:tr>
      <w:tr w:rsidR="00073DA5" w:rsidRPr="00743D61" w:rsidTr="00073DA5">
        <w:trPr>
          <w:trHeight w:val="39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466138" w:rsidRDefault="00073DA5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466138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A5" w:rsidRPr="00466138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A5" w:rsidRPr="00466138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2</w:t>
            </w:r>
            <w:r w:rsidRPr="00466138">
              <w:rPr>
                <w:color w:val="auto"/>
                <w:szCs w:val="24"/>
                <w:lang w:val="uk-UA"/>
              </w:rPr>
              <w:t>026</w:t>
            </w:r>
          </w:p>
        </w:tc>
      </w:tr>
      <w:tr w:rsidR="00073DA5" w:rsidRPr="00743D61" w:rsidTr="00073DA5">
        <w:trPr>
          <w:trHeight w:val="35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DA5" w:rsidRPr="00466138" w:rsidRDefault="00073DA5" w:rsidP="008F2FA3">
            <w:pPr>
              <w:pStyle w:val="a4"/>
              <w:rPr>
                <w:rFonts w:ascii="Times New Roman" w:hAnsi="Times New Roman"/>
              </w:rPr>
            </w:pPr>
            <w:r w:rsidRPr="00466138">
              <w:rPr>
                <w:rFonts w:ascii="Times New Roman" w:hAnsi="Times New Roman"/>
              </w:rPr>
              <w:t xml:space="preserve">Державний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5" w:rsidRPr="00466138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5" w:rsidRPr="00466138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5" w:rsidRPr="00466138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5" w:rsidRPr="00585F6F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3DA5" w:rsidRPr="00743D61" w:rsidTr="00073DA5">
        <w:trPr>
          <w:trHeight w:val="27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rPr>
                <w:rFonts w:ascii="Times New Roman" w:hAnsi="Times New Roman"/>
              </w:rPr>
            </w:pPr>
            <w:r w:rsidRPr="00585F6F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3DA5" w:rsidRPr="00743D61" w:rsidTr="00073DA5">
        <w:trPr>
          <w:trHeight w:val="33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rPr>
                <w:rFonts w:ascii="Times New Roman" w:hAnsi="Times New Roman"/>
              </w:rPr>
            </w:pPr>
            <w:r w:rsidRPr="00585F6F">
              <w:rPr>
                <w:rFonts w:ascii="Times New Roman" w:hAnsi="Times New Roman"/>
              </w:rPr>
              <w:t xml:space="preserve">Місцевий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A6679C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A6679C">
              <w:rPr>
                <w:rFonts w:ascii="Times New Roman" w:hAnsi="Times New Roman"/>
              </w:rPr>
              <w:t>1 200,0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A6679C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A6679C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  <w:tr w:rsidR="00073DA5" w:rsidRPr="00743D61" w:rsidTr="00073DA5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rPr>
                <w:rFonts w:ascii="Times New Roman" w:hAnsi="Times New Roman"/>
              </w:rPr>
            </w:pPr>
            <w:r w:rsidRPr="00585F6F">
              <w:rPr>
                <w:rFonts w:ascii="Times New Roman" w:hAnsi="Times New Roman"/>
              </w:rPr>
              <w:t>Інші джерела</w:t>
            </w:r>
            <w:r w:rsidRPr="00585F6F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A6679C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A6679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A6679C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A6679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3DA5" w:rsidRPr="00743D61" w:rsidTr="00073DA5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DA5" w:rsidRPr="00743D61" w:rsidRDefault="00073DA5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rPr>
                <w:rFonts w:ascii="Times New Roman" w:hAnsi="Times New Roman"/>
              </w:rPr>
            </w:pPr>
            <w:r w:rsidRPr="00091EC5">
              <w:rPr>
                <w:rFonts w:ascii="Times New Roman" w:eastAsia="Times New Roman" w:hAnsi="Times New Roman"/>
                <w:bCs/>
                <w:lang w:eastAsia="ru-RU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A6679C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A6679C">
              <w:rPr>
                <w:rFonts w:ascii="Times New Roman" w:hAnsi="Times New Roman"/>
              </w:rPr>
              <w:t>1 200,0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A6679C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A6679C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585F6F" w:rsidRDefault="00073DA5" w:rsidP="008F2F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  <w:tr w:rsidR="00073DA5" w:rsidRPr="00F70BEF" w:rsidTr="00073DA5">
        <w:trPr>
          <w:trHeight w:val="58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10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Очікувані кінцеві результати виконання Програми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8162A5" w:rsidRDefault="00073DA5" w:rsidP="00073DA5">
            <w:pPr>
              <w:rPr>
                <w:color w:val="auto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 w:eastAsia="uk-UA"/>
              </w:rPr>
              <w:t>З</w:t>
            </w:r>
            <w:r w:rsidRPr="008162A5">
              <w:rPr>
                <w:color w:val="000000"/>
                <w:szCs w:val="24"/>
                <w:lang w:val="uk-UA" w:eastAsia="uk-UA"/>
              </w:rPr>
              <w:t>абезпе</w:t>
            </w:r>
            <w:r w:rsidR="00F70BEF">
              <w:rPr>
                <w:color w:val="000000"/>
                <w:szCs w:val="24"/>
                <w:lang w:val="uk-UA" w:eastAsia="uk-UA"/>
              </w:rPr>
              <w:t>че</w:t>
            </w:r>
            <w:r>
              <w:rPr>
                <w:color w:val="000000"/>
                <w:szCs w:val="24"/>
                <w:lang w:val="uk-UA" w:eastAsia="uk-UA"/>
              </w:rPr>
              <w:t>ння</w:t>
            </w:r>
            <w:r w:rsidRPr="008162A5">
              <w:rPr>
                <w:color w:val="000000"/>
                <w:szCs w:val="24"/>
                <w:lang w:val="uk-UA" w:eastAsia="uk-UA"/>
              </w:rPr>
              <w:t xml:space="preserve"> проведення на належному рівні мобілізаційної підготовки, налагодження чіткої системи військового обліку, накопичення якісних мобілізаційних ресурсів, виконання завдань територіальної оборони, покращення виконання заходів з мобілізаційної підготовки та мобілізації в органах державної влади та місцевого </w:t>
            </w:r>
            <w:r w:rsidRPr="008162A5">
              <w:rPr>
                <w:color w:val="000000"/>
                <w:szCs w:val="24"/>
                <w:lang w:val="uk-UA" w:eastAsia="uk-UA"/>
              </w:rPr>
              <w:lastRenderedPageBreak/>
              <w:t>самоврядування, на підприємствах, в установах</w:t>
            </w:r>
            <w:r>
              <w:rPr>
                <w:color w:val="000000"/>
                <w:szCs w:val="24"/>
                <w:lang w:val="uk-UA" w:eastAsia="uk-UA"/>
              </w:rPr>
              <w:t>, організаціях, що розташовані на території Межівської</w:t>
            </w:r>
            <w:r w:rsidRPr="008162A5">
              <w:rPr>
                <w:color w:val="000000"/>
                <w:szCs w:val="24"/>
                <w:lang w:val="uk-UA" w:eastAsia="uk-UA"/>
              </w:rPr>
              <w:t xml:space="preserve"> селищної </w:t>
            </w:r>
            <w:r>
              <w:rPr>
                <w:color w:val="000000"/>
                <w:szCs w:val="24"/>
                <w:lang w:val="uk-UA" w:eastAsia="uk-UA"/>
              </w:rPr>
              <w:t>територіальної громади; с</w:t>
            </w:r>
            <w:r w:rsidRPr="008162A5">
              <w:rPr>
                <w:color w:val="000000"/>
                <w:szCs w:val="24"/>
                <w:lang w:val="uk-UA" w:eastAsia="uk-UA"/>
              </w:rPr>
              <w:t>прия</w:t>
            </w:r>
            <w:r>
              <w:rPr>
                <w:color w:val="000000"/>
                <w:szCs w:val="24"/>
                <w:lang w:val="uk-UA" w:eastAsia="uk-UA"/>
              </w:rPr>
              <w:t>ння</w:t>
            </w:r>
            <w:r w:rsidRPr="008162A5">
              <w:rPr>
                <w:color w:val="000000"/>
                <w:szCs w:val="24"/>
                <w:lang w:val="uk-UA" w:eastAsia="uk-UA"/>
              </w:rPr>
              <w:t xml:space="preserve"> вирішенню питань за тими напрям</w:t>
            </w:r>
            <w:r>
              <w:rPr>
                <w:color w:val="000000"/>
                <w:szCs w:val="24"/>
                <w:lang w:val="uk-UA" w:eastAsia="uk-UA"/>
              </w:rPr>
              <w:t>к</w:t>
            </w:r>
            <w:r w:rsidRPr="008162A5">
              <w:rPr>
                <w:color w:val="000000"/>
                <w:szCs w:val="24"/>
                <w:lang w:val="uk-UA" w:eastAsia="uk-UA"/>
              </w:rPr>
              <w:t>ами, де спостерігається дефіцит ресурсів з державного бюджету</w:t>
            </w:r>
          </w:p>
        </w:tc>
      </w:tr>
      <w:tr w:rsidR="00073DA5" w:rsidRPr="00F70BEF" w:rsidTr="00073DA5">
        <w:trPr>
          <w:trHeight w:val="589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8F2FA3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Координація та контроль за виконанням</w:t>
            </w:r>
            <w:r>
              <w:rPr>
                <w:color w:val="auto"/>
                <w:szCs w:val="24"/>
                <w:lang w:val="uk-UA"/>
              </w:rPr>
              <w:t xml:space="preserve"> Програми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5" w:rsidRPr="00743D61" w:rsidRDefault="00073DA5" w:rsidP="00073DA5">
            <w:pPr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 xml:space="preserve">Координацію </w:t>
            </w:r>
            <w:r>
              <w:rPr>
                <w:color w:val="auto"/>
                <w:szCs w:val="24"/>
                <w:lang w:val="uk-UA"/>
              </w:rPr>
              <w:t xml:space="preserve">роботи щодо </w:t>
            </w:r>
            <w:r w:rsidRPr="00091EC5">
              <w:rPr>
                <w:color w:val="auto"/>
                <w:szCs w:val="24"/>
                <w:lang w:val="uk-UA"/>
              </w:rPr>
              <w:t xml:space="preserve">виконання заходів Програми, ефективним та цільовим використанням коштів її виконавцями здійснює </w:t>
            </w:r>
            <w:r>
              <w:rPr>
                <w:bCs/>
                <w:iCs/>
                <w:color w:val="auto"/>
                <w:szCs w:val="24"/>
                <w:lang w:val="uk-UA"/>
              </w:rPr>
              <w:t>с</w:t>
            </w:r>
            <w:r w:rsidRPr="00BA2F7F">
              <w:rPr>
                <w:bCs/>
                <w:iCs/>
                <w:color w:val="auto"/>
                <w:szCs w:val="24"/>
                <w:lang w:val="uk-UA"/>
              </w:rPr>
              <w:t>ектор з питань цивільного захисту, надзвичайних ситуацій, мобілізаційної та оборонної роботи виконавчого комітету Межівської селищної ради</w:t>
            </w:r>
            <w:r w:rsidRPr="00091EC5">
              <w:rPr>
                <w:color w:val="auto"/>
                <w:szCs w:val="24"/>
                <w:lang w:val="uk-UA"/>
              </w:rPr>
              <w:t xml:space="preserve">, контроль – </w:t>
            </w:r>
            <w:r w:rsidRPr="00B87B4F">
              <w:rPr>
                <w:color w:val="auto"/>
                <w:szCs w:val="24"/>
                <w:lang w:val="uk-UA"/>
              </w:rPr>
              <w:t>постійна комісія селищної ради з питань фі</w:t>
            </w:r>
            <w:r>
              <w:rPr>
                <w:color w:val="auto"/>
                <w:szCs w:val="24"/>
                <w:lang w:val="uk-UA"/>
              </w:rPr>
              <w:t>нансів та планування соціально-</w:t>
            </w:r>
            <w:r w:rsidRPr="00B87B4F">
              <w:rPr>
                <w:color w:val="auto"/>
                <w:szCs w:val="24"/>
                <w:lang w:val="uk-UA"/>
              </w:rPr>
              <w:t>економічного розвитку</w:t>
            </w:r>
          </w:p>
        </w:tc>
      </w:tr>
    </w:tbl>
    <w:p w:rsidR="00073DA5" w:rsidRDefault="00073DA5" w:rsidP="00073DA5">
      <w:pPr>
        <w:jc w:val="center"/>
        <w:rPr>
          <w:color w:val="auto"/>
          <w:szCs w:val="24"/>
          <w:lang w:val="uk-UA"/>
        </w:rPr>
      </w:pPr>
    </w:p>
    <w:p w:rsidR="00073DA5" w:rsidRPr="00BF2D62" w:rsidRDefault="00073DA5" w:rsidP="00073DA5">
      <w:pPr>
        <w:jc w:val="both"/>
        <w:rPr>
          <w:color w:val="auto"/>
          <w:szCs w:val="24"/>
          <w:lang w:val="uk-UA"/>
        </w:rPr>
      </w:pPr>
      <w:proofErr w:type="gramStart"/>
      <w:r w:rsidRPr="00743D61">
        <w:rPr>
          <w:color w:val="auto"/>
          <w:szCs w:val="24"/>
        </w:rPr>
        <w:t xml:space="preserve">*) </w:t>
      </w:r>
      <w:proofErr w:type="spellStart"/>
      <w:r w:rsidRPr="00743D61">
        <w:rPr>
          <w:color w:val="auto"/>
          <w:szCs w:val="24"/>
        </w:rPr>
        <w:t>Інші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джерела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можуть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включати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кошти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позабюджетних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фондів</w:t>
      </w:r>
      <w:proofErr w:type="spellEnd"/>
      <w:r w:rsidRPr="00743D61">
        <w:rPr>
          <w:color w:val="auto"/>
          <w:szCs w:val="24"/>
        </w:rPr>
        <w:t xml:space="preserve">, </w:t>
      </w:r>
      <w:proofErr w:type="spellStart"/>
      <w:r w:rsidRPr="00743D61">
        <w:rPr>
          <w:color w:val="auto"/>
          <w:szCs w:val="24"/>
        </w:rPr>
        <w:t>гранти</w:t>
      </w:r>
      <w:proofErr w:type="spellEnd"/>
      <w:r w:rsidRPr="00743D61">
        <w:rPr>
          <w:color w:val="auto"/>
          <w:szCs w:val="24"/>
        </w:rPr>
        <w:t xml:space="preserve">, </w:t>
      </w:r>
      <w:proofErr w:type="spellStart"/>
      <w:r w:rsidRPr="00743D61">
        <w:rPr>
          <w:color w:val="auto"/>
          <w:szCs w:val="24"/>
        </w:rPr>
        <w:t>власні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кошти</w:t>
      </w:r>
      <w:proofErr w:type="spellEnd"/>
      <w:r w:rsidRPr="00743D61">
        <w:rPr>
          <w:color w:val="auto"/>
          <w:szCs w:val="24"/>
        </w:rPr>
        <w:t xml:space="preserve">, </w:t>
      </w:r>
      <w:proofErr w:type="spellStart"/>
      <w:r w:rsidRPr="00743D61">
        <w:rPr>
          <w:color w:val="auto"/>
          <w:szCs w:val="24"/>
        </w:rPr>
        <w:t>залучені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кредити</w:t>
      </w:r>
      <w:proofErr w:type="spellEnd"/>
      <w:r w:rsidRPr="00743D61">
        <w:rPr>
          <w:color w:val="auto"/>
          <w:szCs w:val="24"/>
        </w:rPr>
        <w:t xml:space="preserve">, </w:t>
      </w:r>
      <w:proofErr w:type="spellStart"/>
      <w:r w:rsidRPr="00743D61">
        <w:rPr>
          <w:color w:val="auto"/>
          <w:szCs w:val="24"/>
        </w:rPr>
        <w:t>інші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джерела</w:t>
      </w:r>
      <w:proofErr w:type="spellEnd"/>
      <w:r w:rsidRPr="00743D61">
        <w:rPr>
          <w:color w:val="auto"/>
          <w:szCs w:val="24"/>
        </w:rPr>
        <w:t xml:space="preserve">, не </w:t>
      </w:r>
      <w:proofErr w:type="spellStart"/>
      <w:r w:rsidRPr="00743D61">
        <w:rPr>
          <w:color w:val="auto"/>
          <w:szCs w:val="24"/>
        </w:rPr>
        <w:t>заборонені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чинним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законодавством</w:t>
      </w:r>
      <w:proofErr w:type="spellEnd"/>
      <w:r>
        <w:rPr>
          <w:color w:val="auto"/>
          <w:szCs w:val="24"/>
          <w:lang w:val="uk-UA"/>
        </w:rPr>
        <w:t>.</w:t>
      </w:r>
      <w:proofErr w:type="gramEnd"/>
    </w:p>
    <w:p w:rsidR="00073DA5" w:rsidRPr="00743D61" w:rsidRDefault="00073DA5" w:rsidP="00073DA5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</w:p>
    <w:p w:rsidR="00073DA5" w:rsidRPr="00743D61" w:rsidRDefault="00073DA5" w:rsidP="00073DA5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Сектор з питань цивільного захисту, надзвичайних ситуацій, мобілізаційної та оборонної роботи</w:t>
      </w:r>
      <w:r w:rsidRPr="00743D61">
        <w:rPr>
          <w:color w:val="auto"/>
          <w:szCs w:val="24"/>
          <w:lang w:val="uk-UA"/>
        </w:rPr>
        <w:t xml:space="preserve"> виконавчого комітету Межівської селищної ради готує про</w:t>
      </w:r>
      <w:r>
        <w:rPr>
          <w:color w:val="auto"/>
          <w:szCs w:val="24"/>
          <w:lang w:val="uk-UA"/>
        </w:rPr>
        <w:t>е</w:t>
      </w:r>
      <w:r w:rsidRPr="00743D61">
        <w:rPr>
          <w:color w:val="auto"/>
          <w:szCs w:val="24"/>
          <w:lang w:val="uk-UA"/>
        </w:rPr>
        <w:t>кти календарних планів та щоквартально</w:t>
      </w:r>
      <w:r>
        <w:rPr>
          <w:color w:val="auto"/>
          <w:szCs w:val="24"/>
          <w:lang w:val="uk-UA"/>
        </w:rPr>
        <w:t xml:space="preserve"> </w:t>
      </w:r>
      <w:r w:rsidRPr="00743D61">
        <w:rPr>
          <w:color w:val="auto"/>
          <w:szCs w:val="24"/>
          <w:lang w:val="uk-UA"/>
        </w:rPr>
        <w:t>до 1</w:t>
      </w:r>
      <w:r>
        <w:rPr>
          <w:color w:val="auto"/>
          <w:szCs w:val="24"/>
          <w:lang w:val="uk-UA"/>
        </w:rPr>
        <w:t>0</w:t>
      </w:r>
      <w:r w:rsidRPr="00743D61">
        <w:rPr>
          <w:color w:val="auto"/>
          <w:szCs w:val="24"/>
          <w:lang w:val="uk-UA"/>
        </w:rPr>
        <w:t xml:space="preserve"> числа місяця, що настає за звітним періодом, готує інформацію про стан і результати виконання Програми для керівництва селищної ради та постійних комісій селищної ради.</w:t>
      </w:r>
    </w:p>
    <w:p w:rsidR="00295BD6" w:rsidRPr="00743D61" w:rsidRDefault="00466138" w:rsidP="00073DA5">
      <w:pPr>
        <w:pStyle w:val="a4"/>
        <w:jc w:val="center"/>
      </w:pPr>
      <w:r>
        <w:t>_________________________</w:t>
      </w:r>
    </w:p>
    <w:p w:rsidR="00743D61" w:rsidRPr="00743D61" w:rsidRDefault="00743D61" w:rsidP="00295BD6">
      <w:pPr>
        <w:rPr>
          <w:color w:val="auto"/>
          <w:szCs w:val="24"/>
          <w:lang w:val="uk-UA"/>
        </w:rPr>
      </w:pPr>
    </w:p>
    <w:p w:rsidR="00743D61" w:rsidRPr="00743D61" w:rsidRDefault="00743D61" w:rsidP="00295BD6">
      <w:pPr>
        <w:rPr>
          <w:color w:val="auto"/>
          <w:szCs w:val="24"/>
          <w:lang w:val="uk-UA"/>
        </w:rPr>
      </w:pPr>
    </w:p>
    <w:p w:rsidR="0075776C" w:rsidRPr="0075776C" w:rsidRDefault="00295BD6">
      <w:pPr>
        <w:rPr>
          <w:color w:val="auto"/>
          <w:szCs w:val="24"/>
          <w:lang w:val="uk-UA"/>
        </w:rPr>
      </w:pPr>
      <w:r w:rsidRPr="00743D61">
        <w:rPr>
          <w:color w:val="auto"/>
          <w:szCs w:val="24"/>
          <w:lang w:val="uk-UA"/>
        </w:rPr>
        <w:t>Секретар</w:t>
      </w:r>
      <w:r w:rsidR="00743D61" w:rsidRPr="00743D61">
        <w:rPr>
          <w:color w:val="auto"/>
          <w:szCs w:val="24"/>
          <w:lang w:val="uk-UA"/>
        </w:rPr>
        <w:t xml:space="preserve"> ради </w:t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  <w:t xml:space="preserve">  </w:t>
      </w:r>
      <w:r w:rsidRPr="00743D61">
        <w:rPr>
          <w:color w:val="auto"/>
          <w:szCs w:val="24"/>
          <w:lang w:val="uk-UA"/>
        </w:rPr>
        <w:t xml:space="preserve"> </w:t>
      </w:r>
      <w:r w:rsidR="00B12640">
        <w:rPr>
          <w:color w:val="auto"/>
          <w:szCs w:val="24"/>
          <w:lang w:val="uk-UA"/>
        </w:rPr>
        <w:tab/>
      </w:r>
      <w:r w:rsidR="00B12640">
        <w:rPr>
          <w:color w:val="auto"/>
          <w:szCs w:val="24"/>
          <w:lang w:val="uk-UA"/>
        </w:rPr>
        <w:tab/>
        <w:t xml:space="preserve">  </w:t>
      </w:r>
      <w:r w:rsidR="00073DA5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>Любов МАКСІМКІНА</w:t>
      </w:r>
    </w:p>
    <w:sectPr w:rsidR="0075776C" w:rsidRPr="0075776C" w:rsidSect="006D4C04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52" w:rsidRDefault="00A60D52" w:rsidP="006D4C04">
      <w:r>
        <w:separator/>
      </w:r>
    </w:p>
  </w:endnote>
  <w:endnote w:type="continuationSeparator" w:id="0">
    <w:p w:rsidR="00A60D52" w:rsidRDefault="00A60D52" w:rsidP="006D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52" w:rsidRDefault="00A60D52" w:rsidP="006D4C04">
      <w:r>
        <w:separator/>
      </w:r>
    </w:p>
  </w:footnote>
  <w:footnote w:type="continuationSeparator" w:id="0">
    <w:p w:rsidR="00A60D52" w:rsidRDefault="00A60D52" w:rsidP="006D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4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D4C04" w:rsidRPr="006D4C04" w:rsidRDefault="00A6690E" w:rsidP="006D4C04">
        <w:pPr>
          <w:pStyle w:val="a5"/>
          <w:jc w:val="right"/>
          <w:rPr>
            <w:color w:val="000000" w:themeColor="text1"/>
          </w:rPr>
        </w:pPr>
        <w:r w:rsidRPr="006D4C04">
          <w:rPr>
            <w:color w:val="000000" w:themeColor="text1"/>
          </w:rPr>
          <w:fldChar w:fldCharType="begin"/>
        </w:r>
        <w:r w:rsidR="006D4C04" w:rsidRPr="006D4C04">
          <w:rPr>
            <w:color w:val="000000" w:themeColor="text1"/>
          </w:rPr>
          <w:instrText xml:space="preserve"> PAGE   \* MERGEFORMAT </w:instrText>
        </w:r>
        <w:r w:rsidRPr="006D4C04">
          <w:rPr>
            <w:color w:val="000000" w:themeColor="text1"/>
          </w:rPr>
          <w:fldChar w:fldCharType="separate"/>
        </w:r>
        <w:r w:rsidR="00F70BEF">
          <w:rPr>
            <w:noProof/>
            <w:color w:val="000000" w:themeColor="text1"/>
          </w:rPr>
          <w:t>2</w:t>
        </w:r>
        <w:r w:rsidRPr="006D4C04">
          <w:rPr>
            <w:color w:val="000000" w:themeColor="text1"/>
          </w:rPr>
          <w:fldChar w:fldCharType="end"/>
        </w:r>
        <w:r w:rsidR="006D4C04" w:rsidRPr="006D4C04">
          <w:rPr>
            <w:color w:val="000000" w:themeColor="text1"/>
            <w:lang w:val="uk-UA"/>
          </w:rPr>
          <w:t xml:space="preserve">                                        Продовження додатка 1</w:t>
        </w:r>
      </w:p>
    </w:sdtContent>
  </w:sdt>
  <w:p w:rsidR="006D4C04" w:rsidRDefault="006D4C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C3E"/>
    <w:rsid w:val="00073DA5"/>
    <w:rsid w:val="000B4122"/>
    <w:rsid w:val="000F42DA"/>
    <w:rsid w:val="00111BD0"/>
    <w:rsid w:val="00112881"/>
    <w:rsid w:val="00134A70"/>
    <w:rsid w:val="00157888"/>
    <w:rsid w:val="001A6127"/>
    <w:rsid w:val="001E3C3D"/>
    <w:rsid w:val="00256560"/>
    <w:rsid w:val="002712BD"/>
    <w:rsid w:val="002722D8"/>
    <w:rsid w:val="00295BD6"/>
    <w:rsid w:val="002C4ADD"/>
    <w:rsid w:val="00397D49"/>
    <w:rsid w:val="003B5D57"/>
    <w:rsid w:val="003C6F63"/>
    <w:rsid w:val="00401C3E"/>
    <w:rsid w:val="004102C6"/>
    <w:rsid w:val="00466138"/>
    <w:rsid w:val="00475CB4"/>
    <w:rsid w:val="00484354"/>
    <w:rsid w:val="004922E0"/>
    <w:rsid w:val="004A4093"/>
    <w:rsid w:val="004A6FE4"/>
    <w:rsid w:val="0050624F"/>
    <w:rsid w:val="00585F6F"/>
    <w:rsid w:val="005C3A2D"/>
    <w:rsid w:val="00631026"/>
    <w:rsid w:val="006D4C04"/>
    <w:rsid w:val="006F6A86"/>
    <w:rsid w:val="00713872"/>
    <w:rsid w:val="00743D61"/>
    <w:rsid w:val="0075776C"/>
    <w:rsid w:val="008162A5"/>
    <w:rsid w:val="00834249"/>
    <w:rsid w:val="008974C4"/>
    <w:rsid w:val="0092184C"/>
    <w:rsid w:val="009423B8"/>
    <w:rsid w:val="00963AAA"/>
    <w:rsid w:val="009920D9"/>
    <w:rsid w:val="009B4671"/>
    <w:rsid w:val="009E3333"/>
    <w:rsid w:val="00A4510C"/>
    <w:rsid w:val="00A60D52"/>
    <w:rsid w:val="00A6690E"/>
    <w:rsid w:val="00A70682"/>
    <w:rsid w:val="00A75372"/>
    <w:rsid w:val="00A86D39"/>
    <w:rsid w:val="00AA4A41"/>
    <w:rsid w:val="00B12640"/>
    <w:rsid w:val="00B34F9A"/>
    <w:rsid w:val="00B921C9"/>
    <w:rsid w:val="00BA7E8F"/>
    <w:rsid w:val="00C40487"/>
    <w:rsid w:val="00C55DAD"/>
    <w:rsid w:val="00CF7D0F"/>
    <w:rsid w:val="00D239CB"/>
    <w:rsid w:val="00D9603F"/>
    <w:rsid w:val="00DF74A9"/>
    <w:rsid w:val="00E01C19"/>
    <w:rsid w:val="00E5393B"/>
    <w:rsid w:val="00EF7697"/>
    <w:rsid w:val="00F43B69"/>
    <w:rsid w:val="00F70BEF"/>
    <w:rsid w:val="00FA542E"/>
    <w:rsid w:val="00FB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6D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4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4102C6"/>
    <w:pPr>
      <w:widowControl w:val="0"/>
      <w:suppressAutoHyphens/>
      <w:spacing w:after="60"/>
      <w:jc w:val="center"/>
    </w:pPr>
    <w:rPr>
      <w:rFonts w:ascii="Cambria" w:eastAsia="Calibri" w:hAnsi="Cambria" w:cs="Cambria"/>
      <w:color w:val="000000"/>
      <w:szCs w:val="24"/>
      <w:lang w:val="uk-UA" w:eastAsia="zh-CN"/>
    </w:rPr>
  </w:style>
  <w:style w:type="character" w:customStyle="1" w:styleId="aa">
    <w:name w:val="Подзаголовок Знак"/>
    <w:basedOn w:val="a0"/>
    <w:link w:val="a9"/>
    <w:rsid w:val="004102C6"/>
    <w:rPr>
      <w:rFonts w:ascii="Cambria" w:eastAsia="Calibri" w:hAnsi="Cambria" w:cs="Cambria"/>
      <w:color w:val="000000"/>
      <w:sz w:val="24"/>
      <w:szCs w:val="24"/>
      <w:lang w:val="uk-UA" w:eastAsia="zh-CN"/>
    </w:rPr>
  </w:style>
  <w:style w:type="table" w:styleId="ab">
    <w:name w:val="Table Grid"/>
    <w:basedOn w:val="a1"/>
    <w:uiPriority w:val="39"/>
    <w:rsid w:val="0007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Maximkina</cp:lastModifiedBy>
  <cp:revision>29</cp:revision>
  <cp:lastPrinted>2023-11-10T07:10:00Z</cp:lastPrinted>
  <dcterms:created xsi:type="dcterms:W3CDTF">2023-09-22T08:56:00Z</dcterms:created>
  <dcterms:modified xsi:type="dcterms:W3CDTF">2023-11-10T07:11:00Z</dcterms:modified>
</cp:coreProperties>
</file>