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A5" w:rsidRPr="00157888" w:rsidRDefault="00E223A5" w:rsidP="00E223A5">
      <w:pPr>
        <w:pStyle w:val="a4"/>
        <w:ind w:left="5954" w:firstLine="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Додаток 1</w:t>
      </w:r>
    </w:p>
    <w:p w:rsidR="00E223A5" w:rsidRPr="00157888" w:rsidRDefault="00E223A5" w:rsidP="00E223A5">
      <w:pPr>
        <w:ind w:left="5954" w:firstLine="6"/>
        <w:rPr>
          <w:color w:val="auto"/>
          <w:szCs w:val="24"/>
        </w:rPr>
      </w:pPr>
      <w:r w:rsidRPr="00157888">
        <w:rPr>
          <w:color w:val="auto"/>
          <w:szCs w:val="24"/>
        </w:rPr>
        <w:t xml:space="preserve">до </w:t>
      </w:r>
      <w:r>
        <w:rPr>
          <w:color w:val="auto"/>
          <w:szCs w:val="24"/>
          <w:lang w:val="uk-UA"/>
        </w:rPr>
        <w:t xml:space="preserve">селищної </w:t>
      </w:r>
      <w:proofErr w:type="spellStart"/>
      <w:r w:rsidRPr="00157888">
        <w:rPr>
          <w:color w:val="auto"/>
          <w:szCs w:val="24"/>
        </w:rPr>
        <w:t>Пр</w:t>
      </w:r>
      <w:r>
        <w:rPr>
          <w:color w:val="auto"/>
          <w:szCs w:val="24"/>
        </w:rPr>
        <w:t>ограми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розвит</w:t>
      </w:r>
      <w:r>
        <w:rPr>
          <w:color w:val="auto"/>
          <w:szCs w:val="24"/>
          <w:lang w:val="uk-UA"/>
        </w:rPr>
        <w:t>ку</w:t>
      </w:r>
      <w:proofErr w:type="spellEnd"/>
      <w:r>
        <w:rPr>
          <w:color w:val="auto"/>
          <w:szCs w:val="24"/>
          <w:lang w:val="uk-UA"/>
        </w:rPr>
        <w:t xml:space="preserve"> земельних </w:t>
      </w:r>
      <w:proofErr w:type="spellStart"/>
      <w:r>
        <w:rPr>
          <w:color w:val="auto"/>
          <w:szCs w:val="24"/>
        </w:rPr>
        <w:t>відносин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охорони</w:t>
      </w:r>
      <w:proofErr w:type="spellEnd"/>
      <w:r>
        <w:rPr>
          <w:color w:val="auto"/>
          <w:szCs w:val="24"/>
        </w:rPr>
        <w:t xml:space="preserve"> земель</w:t>
      </w:r>
      <w:proofErr w:type="gramStart"/>
      <w:r>
        <w:rPr>
          <w:color w:val="auto"/>
          <w:szCs w:val="24"/>
          <w:lang w:val="uk-UA"/>
        </w:rPr>
        <w:t xml:space="preserve"> </w:t>
      </w:r>
      <w:r w:rsidRPr="00157888">
        <w:rPr>
          <w:color w:val="auto"/>
          <w:szCs w:val="24"/>
        </w:rPr>
        <w:t>М</w:t>
      </w:r>
      <w:proofErr w:type="gramEnd"/>
      <w:r w:rsidRPr="00157888">
        <w:rPr>
          <w:color w:val="auto"/>
          <w:szCs w:val="24"/>
        </w:rPr>
        <w:t xml:space="preserve">ежівської </w:t>
      </w:r>
      <w:proofErr w:type="spellStart"/>
      <w:r w:rsidRPr="00157888">
        <w:rPr>
          <w:color w:val="auto"/>
          <w:szCs w:val="24"/>
        </w:rPr>
        <w:t>селищної</w:t>
      </w:r>
      <w:proofErr w:type="spellEnd"/>
      <w:r w:rsidRPr="00157888">
        <w:rPr>
          <w:color w:val="auto"/>
          <w:szCs w:val="24"/>
        </w:rPr>
        <w:t xml:space="preserve"> </w:t>
      </w:r>
      <w:proofErr w:type="spellStart"/>
      <w:r w:rsidRPr="00157888">
        <w:rPr>
          <w:color w:val="auto"/>
          <w:szCs w:val="24"/>
        </w:rPr>
        <w:t>територіальної</w:t>
      </w:r>
      <w:proofErr w:type="spellEnd"/>
      <w:r w:rsidRPr="00157888">
        <w:rPr>
          <w:color w:val="auto"/>
          <w:szCs w:val="24"/>
        </w:rPr>
        <w:t xml:space="preserve"> </w:t>
      </w:r>
      <w:proofErr w:type="spellStart"/>
      <w:r w:rsidRPr="00157888">
        <w:rPr>
          <w:color w:val="auto"/>
          <w:szCs w:val="24"/>
        </w:rPr>
        <w:t>громади</w:t>
      </w:r>
      <w:proofErr w:type="spellEnd"/>
      <w:r w:rsidRPr="00157888">
        <w:rPr>
          <w:color w:val="auto"/>
          <w:szCs w:val="24"/>
        </w:rPr>
        <w:t xml:space="preserve"> на 2024 – 2026 роки</w:t>
      </w:r>
    </w:p>
    <w:p w:rsidR="00E223A5" w:rsidRPr="00B12640" w:rsidRDefault="00E223A5" w:rsidP="00E223A5">
      <w:pPr>
        <w:jc w:val="center"/>
        <w:rPr>
          <w:b/>
          <w:color w:val="auto"/>
          <w:szCs w:val="24"/>
          <w:lang w:val="uk-UA"/>
        </w:rPr>
      </w:pPr>
    </w:p>
    <w:p w:rsidR="00E223A5" w:rsidRPr="00091EC5" w:rsidRDefault="00E223A5" w:rsidP="00E223A5">
      <w:pPr>
        <w:jc w:val="center"/>
        <w:rPr>
          <w:b/>
          <w:color w:val="auto"/>
          <w:szCs w:val="24"/>
          <w:lang w:val="uk-UA"/>
        </w:rPr>
      </w:pPr>
      <w:r w:rsidRPr="00091EC5">
        <w:rPr>
          <w:b/>
          <w:color w:val="auto"/>
          <w:szCs w:val="24"/>
          <w:lang w:val="uk-UA"/>
        </w:rPr>
        <w:t>ПАСПОРТ</w:t>
      </w:r>
    </w:p>
    <w:p w:rsidR="00E223A5" w:rsidRPr="00091EC5" w:rsidRDefault="00E223A5" w:rsidP="00E223A5">
      <w:pPr>
        <w:jc w:val="center"/>
        <w:rPr>
          <w:b/>
          <w:color w:val="auto"/>
          <w:szCs w:val="24"/>
          <w:lang w:val="uk-UA"/>
        </w:rPr>
      </w:pPr>
      <w:r w:rsidRPr="00091EC5">
        <w:rPr>
          <w:b/>
          <w:color w:val="auto"/>
          <w:szCs w:val="24"/>
          <w:lang w:val="uk-UA"/>
        </w:rPr>
        <w:t xml:space="preserve">селищної Програми розвитку земельних відносин та охорони земель Межівської селищної територіальної громади  </w:t>
      </w:r>
    </w:p>
    <w:p w:rsidR="00E223A5" w:rsidRPr="00091EC5" w:rsidRDefault="00E223A5" w:rsidP="00E223A5">
      <w:pPr>
        <w:jc w:val="center"/>
        <w:rPr>
          <w:b/>
          <w:color w:val="auto"/>
          <w:szCs w:val="24"/>
          <w:lang w:val="uk-UA"/>
        </w:rPr>
      </w:pPr>
      <w:r w:rsidRPr="00091EC5">
        <w:rPr>
          <w:b/>
          <w:color w:val="auto"/>
          <w:szCs w:val="24"/>
          <w:lang w:val="uk-UA"/>
        </w:rPr>
        <w:t>на 2024 - 2026 роки</w:t>
      </w:r>
    </w:p>
    <w:p w:rsidR="00E223A5" w:rsidRPr="00743D61" w:rsidRDefault="00E223A5" w:rsidP="00E223A5">
      <w:pPr>
        <w:jc w:val="center"/>
        <w:rPr>
          <w:color w:val="auto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3872"/>
        <w:gridCol w:w="1842"/>
        <w:gridCol w:w="993"/>
        <w:gridCol w:w="992"/>
        <w:gridCol w:w="1559"/>
      </w:tblGrid>
      <w:tr w:rsidR="00E223A5" w:rsidRPr="00091EC5" w:rsidTr="00E223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1</w:t>
            </w:r>
          </w:p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Назва програми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rPr>
                <w:color w:val="FF0000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Селищна Програма розвитку земельних відносин та охорони земель Межівської селищної територіальної громади на 2024 – 2026 роки</w:t>
            </w:r>
          </w:p>
        </w:tc>
      </w:tr>
      <w:tr w:rsidR="00E223A5" w:rsidRPr="00E501BB" w:rsidTr="00E223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Підстава для розроблення</w:t>
            </w:r>
            <w:r w:rsidRPr="00091EC5">
              <w:rPr>
                <w:szCs w:val="24"/>
                <w:lang w:val="uk-UA"/>
              </w:rPr>
              <w:t>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E223A5" w:rsidRDefault="00E223A5" w:rsidP="00E223A5">
            <w:pPr>
              <w:rPr>
                <w:color w:val="auto"/>
                <w:szCs w:val="24"/>
                <w:lang w:val="uk-UA"/>
              </w:rPr>
            </w:pPr>
            <w:r w:rsidRPr="00E223A5">
              <w:rPr>
                <w:color w:val="auto"/>
                <w:szCs w:val="24"/>
                <w:lang w:val="uk-UA"/>
              </w:rPr>
              <w:t>Земельний кодекс України</w:t>
            </w:r>
            <w:r>
              <w:rPr>
                <w:color w:val="auto"/>
                <w:szCs w:val="24"/>
                <w:lang w:val="uk-UA"/>
              </w:rPr>
              <w:t xml:space="preserve">, </w:t>
            </w:r>
            <w:r w:rsidRPr="00E223A5">
              <w:rPr>
                <w:color w:val="000000"/>
                <w:szCs w:val="24"/>
                <w:shd w:val="clear" w:color="auto" w:fill="FFFFFF"/>
                <w:lang w:val="uk-UA"/>
              </w:rPr>
              <w:t>закон</w:t>
            </w:r>
            <w:r>
              <w:rPr>
                <w:color w:val="000000"/>
                <w:szCs w:val="24"/>
                <w:shd w:val="clear" w:color="auto" w:fill="FFFFFF"/>
                <w:lang w:val="uk-UA"/>
              </w:rPr>
              <w:t>и</w:t>
            </w:r>
            <w:r w:rsidRPr="00E223A5">
              <w:rPr>
                <w:color w:val="000000"/>
                <w:szCs w:val="24"/>
                <w:shd w:val="clear" w:color="auto" w:fill="FFFFFF"/>
                <w:lang w:val="uk-UA"/>
              </w:rPr>
              <w:t xml:space="preserve"> України «Про землеустрій», «Про Державний земельний кадастр», «Про топографо-геодезичну і картографічну діяльність», «Про регулювання містобудівної діяльності»</w:t>
            </w:r>
          </w:p>
        </w:tc>
      </w:tr>
      <w:tr w:rsidR="00E223A5" w:rsidRPr="00091EC5" w:rsidTr="00E223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FF0000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E223A5" w:rsidRPr="00091EC5" w:rsidTr="00E223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Розробник Програми</w:t>
            </w:r>
          </w:p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</w:rPr>
            </w:pPr>
            <w:r w:rsidRPr="00091EC5">
              <w:rPr>
                <w:color w:val="auto"/>
                <w:szCs w:val="24"/>
                <w:lang w:val="uk-UA"/>
              </w:rPr>
              <w:t>В</w:t>
            </w:r>
            <w:proofErr w:type="spellStart"/>
            <w:r w:rsidRPr="00091EC5">
              <w:rPr>
                <w:color w:val="auto"/>
                <w:szCs w:val="24"/>
              </w:rPr>
              <w:t>ідділ</w:t>
            </w:r>
            <w:proofErr w:type="spellEnd"/>
            <w:r w:rsidRPr="00091EC5">
              <w:rPr>
                <w:color w:val="auto"/>
                <w:szCs w:val="24"/>
              </w:rPr>
              <w:t xml:space="preserve"> </w:t>
            </w:r>
            <w:proofErr w:type="spellStart"/>
            <w:r w:rsidRPr="00091EC5">
              <w:rPr>
                <w:color w:val="auto"/>
                <w:szCs w:val="24"/>
              </w:rPr>
              <w:t>земельних</w:t>
            </w:r>
            <w:proofErr w:type="spellEnd"/>
            <w:r w:rsidRPr="00091EC5">
              <w:rPr>
                <w:color w:val="auto"/>
                <w:szCs w:val="24"/>
              </w:rPr>
              <w:t xml:space="preserve"> </w:t>
            </w:r>
            <w:proofErr w:type="spellStart"/>
            <w:r w:rsidRPr="00091EC5">
              <w:rPr>
                <w:color w:val="auto"/>
                <w:szCs w:val="24"/>
              </w:rPr>
              <w:t>питань</w:t>
            </w:r>
            <w:proofErr w:type="spellEnd"/>
            <w:r w:rsidRPr="00091EC5">
              <w:rPr>
                <w:color w:val="auto"/>
                <w:szCs w:val="24"/>
              </w:rPr>
              <w:t xml:space="preserve"> та </w:t>
            </w:r>
            <w:proofErr w:type="spellStart"/>
            <w:r w:rsidRPr="00091EC5">
              <w:rPr>
                <w:color w:val="auto"/>
                <w:szCs w:val="24"/>
              </w:rPr>
              <w:t>охорони</w:t>
            </w:r>
            <w:proofErr w:type="spellEnd"/>
            <w:r w:rsidRPr="00091EC5">
              <w:rPr>
                <w:color w:val="auto"/>
                <w:szCs w:val="24"/>
              </w:rPr>
              <w:t xml:space="preserve"> </w:t>
            </w:r>
            <w:proofErr w:type="spellStart"/>
            <w:r w:rsidRPr="00091EC5">
              <w:rPr>
                <w:color w:val="auto"/>
                <w:szCs w:val="24"/>
              </w:rPr>
              <w:t>навколишнього</w:t>
            </w:r>
            <w:proofErr w:type="spellEnd"/>
            <w:r w:rsidRPr="00091EC5">
              <w:rPr>
                <w:color w:val="auto"/>
                <w:szCs w:val="24"/>
              </w:rPr>
              <w:t xml:space="preserve"> природного </w:t>
            </w:r>
            <w:proofErr w:type="spellStart"/>
            <w:r w:rsidRPr="00091EC5">
              <w:rPr>
                <w:color w:val="auto"/>
                <w:szCs w:val="24"/>
              </w:rPr>
              <w:t>середовища</w:t>
            </w:r>
            <w:proofErr w:type="spellEnd"/>
            <w:r w:rsidRPr="00091EC5">
              <w:rPr>
                <w:color w:val="auto"/>
                <w:szCs w:val="24"/>
              </w:rPr>
              <w:t xml:space="preserve"> </w:t>
            </w:r>
            <w:proofErr w:type="spellStart"/>
            <w:r w:rsidRPr="00091EC5">
              <w:rPr>
                <w:color w:val="auto"/>
                <w:szCs w:val="24"/>
              </w:rPr>
              <w:t>виконавчого</w:t>
            </w:r>
            <w:proofErr w:type="spellEnd"/>
            <w:r w:rsidRPr="00091EC5">
              <w:rPr>
                <w:color w:val="auto"/>
                <w:szCs w:val="24"/>
              </w:rPr>
              <w:t xml:space="preserve"> </w:t>
            </w:r>
            <w:proofErr w:type="spellStart"/>
            <w:r w:rsidRPr="00091EC5">
              <w:rPr>
                <w:color w:val="auto"/>
                <w:szCs w:val="24"/>
              </w:rPr>
              <w:t>комітету</w:t>
            </w:r>
            <w:proofErr w:type="spellEnd"/>
            <w:r w:rsidRPr="00091EC5">
              <w:rPr>
                <w:color w:val="auto"/>
                <w:szCs w:val="24"/>
              </w:rPr>
              <w:t xml:space="preserve"> Межівської </w:t>
            </w:r>
            <w:proofErr w:type="spellStart"/>
            <w:r w:rsidRPr="00091EC5">
              <w:rPr>
                <w:color w:val="auto"/>
                <w:szCs w:val="24"/>
              </w:rPr>
              <w:t>селищної</w:t>
            </w:r>
            <w:proofErr w:type="spellEnd"/>
            <w:r w:rsidRPr="00091EC5">
              <w:rPr>
                <w:color w:val="auto"/>
                <w:szCs w:val="24"/>
              </w:rPr>
              <w:t xml:space="preserve"> ради </w:t>
            </w:r>
          </w:p>
        </w:tc>
      </w:tr>
      <w:tr w:rsidR="00E223A5" w:rsidRPr="00091EC5" w:rsidTr="00E223A5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 xml:space="preserve">Виконавчий комітет Межівської селищної ради  </w:t>
            </w:r>
          </w:p>
        </w:tc>
      </w:tr>
      <w:tr w:rsidR="00E223A5" w:rsidRPr="00E501BB" w:rsidTr="00E223A5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Мета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FA106B" w:rsidRDefault="00E223A5" w:rsidP="002937D0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 xml:space="preserve">Здійснення заходів для створення </w:t>
            </w:r>
            <w:r w:rsidRPr="00FA106B">
              <w:rPr>
                <w:color w:val="auto"/>
                <w:szCs w:val="24"/>
                <w:lang w:val="uk-UA"/>
              </w:rPr>
              <w:t>ефективного механізму регулювання земельних відносин та управління земельними ресурсами, раціонального використання та охорони земель, розвитку ринку землі, забезпечення ефективного використання земельних ресурсів, створення оптимальних умов для суттєвого збільшення соціального, інвестиційного і виробничого потенціалів землі, зростання її економічної</w:t>
            </w:r>
            <w:r>
              <w:rPr>
                <w:color w:val="auto"/>
                <w:szCs w:val="24"/>
                <w:lang w:val="uk-UA"/>
              </w:rPr>
              <w:t xml:space="preserve"> цінності</w:t>
            </w:r>
          </w:p>
        </w:tc>
      </w:tr>
      <w:tr w:rsidR="00E223A5" w:rsidRPr="00091EC5" w:rsidTr="00E223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 xml:space="preserve">Строк реалізації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FF0000"/>
                <w:szCs w:val="24"/>
              </w:rPr>
            </w:pPr>
            <w:r w:rsidRPr="00091EC5">
              <w:rPr>
                <w:color w:val="auto"/>
                <w:szCs w:val="24"/>
                <w:lang w:val="uk-UA"/>
              </w:rPr>
              <w:t>2024-2026 роки</w:t>
            </w:r>
          </w:p>
        </w:tc>
      </w:tr>
      <w:tr w:rsidR="00E223A5" w:rsidRPr="00091EC5" w:rsidTr="00E223A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E223A5" w:rsidRPr="00091EC5" w:rsidTr="00E223A5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</w:p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shd w:val="clear" w:color="auto" w:fill="FFFFFF"/>
              <w:tabs>
                <w:tab w:val="left" w:pos="9540"/>
              </w:tabs>
              <w:spacing w:line="221" w:lineRule="auto"/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 xml:space="preserve">Обсяги фінансування, усього, </w:t>
            </w:r>
          </w:p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 xml:space="preserve">За роками виконання, </w:t>
            </w:r>
          </w:p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 xml:space="preserve">тис. грн </w:t>
            </w:r>
          </w:p>
        </w:tc>
      </w:tr>
      <w:tr w:rsidR="00E223A5" w:rsidRPr="00091EC5" w:rsidTr="00E223A5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2026</w:t>
            </w:r>
          </w:p>
        </w:tc>
      </w:tr>
      <w:tr w:rsidR="00E223A5" w:rsidRPr="00091EC5" w:rsidTr="00E223A5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3A5" w:rsidRPr="00091EC5" w:rsidRDefault="00E223A5" w:rsidP="002937D0">
            <w:pPr>
              <w:pStyle w:val="a4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C628C3" w:rsidP="002937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C628C3" w:rsidP="002937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-</w:t>
            </w:r>
          </w:p>
        </w:tc>
      </w:tr>
      <w:tr w:rsidR="00E223A5" w:rsidRPr="00091EC5" w:rsidTr="00E223A5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pStyle w:val="a4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-</w:t>
            </w:r>
          </w:p>
        </w:tc>
      </w:tr>
      <w:tr w:rsidR="00E223A5" w:rsidRPr="00091EC5" w:rsidTr="00E223A5">
        <w:trPr>
          <w:trHeight w:val="33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pStyle w:val="a4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25,0</w:t>
            </w:r>
          </w:p>
        </w:tc>
      </w:tr>
      <w:tr w:rsidR="00E223A5" w:rsidRPr="00091EC5" w:rsidTr="00E223A5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pStyle w:val="a4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Інші джерела</w:t>
            </w:r>
            <w:r w:rsidRPr="00091EC5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C628C3" w:rsidP="002937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501BB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C628C3" w:rsidP="002937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10,0</w:t>
            </w:r>
          </w:p>
        </w:tc>
      </w:tr>
      <w:tr w:rsidR="00E223A5" w:rsidRPr="00091EC5" w:rsidTr="00E223A5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A5" w:rsidRPr="00091EC5" w:rsidRDefault="00E223A5" w:rsidP="002937D0">
            <w:pPr>
              <w:pStyle w:val="a4"/>
              <w:rPr>
                <w:rFonts w:ascii="Times New Roman" w:hAnsi="Times New Roman"/>
              </w:rPr>
            </w:pPr>
            <w:r w:rsidRPr="00091EC5">
              <w:rPr>
                <w:rFonts w:ascii="Times New Roman" w:eastAsia="Times New Roman" w:hAnsi="Times New Roman"/>
                <w:bCs/>
                <w:lang w:eastAsia="ru-RU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C628C3" w:rsidP="002937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23A5" w:rsidRPr="00091EC5">
              <w:rPr>
                <w:rFonts w:ascii="Times New Roman" w:hAnsi="Times New Roma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pStyle w:val="a4"/>
              <w:jc w:val="center"/>
              <w:rPr>
                <w:rFonts w:ascii="Times New Roman" w:hAnsi="Times New Roman"/>
              </w:rPr>
            </w:pPr>
            <w:r w:rsidRPr="00091EC5">
              <w:rPr>
                <w:rFonts w:ascii="Times New Roman" w:hAnsi="Times New Roman"/>
              </w:rPr>
              <w:t>35,0</w:t>
            </w:r>
          </w:p>
        </w:tc>
      </w:tr>
      <w:tr w:rsidR="00E223A5" w:rsidRPr="00E501BB" w:rsidTr="00E223A5">
        <w:trPr>
          <w:trHeight w:val="58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10</w:t>
            </w: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9940C8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9940C8">
              <w:rPr>
                <w:rFonts w:eastAsia="Calibri"/>
                <w:color w:val="auto"/>
                <w:szCs w:val="24"/>
                <w:lang w:val="uk-UA" w:eastAsia="en-US"/>
              </w:rPr>
              <w:t>Підвищення ефективності використання земельних ділянок, збільшення надходжень до бюджету Межівської селищної територіальної громади,</w:t>
            </w:r>
            <w:r w:rsidRPr="009940C8">
              <w:rPr>
                <w:color w:val="auto"/>
                <w:szCs w:val="24"/>
                <w:shd w:val="clear" w:color="auto" w:fill="FFFFFF"/>
                <w:lang w:val="uk-UA"/>
              </w:rPr>
              <w:t xml:space="preserve"> спрощення, впорядкування та прозорість механізму набуття і реалізації права </w:t>
            </w:r>
            <w:r w:rsidRPr="009940C8">
              <w:rPr>
                <w:color w:val="auto"/>
                <w:szCs w:val="24"/>
                <w:shd w:val="clear" w:color="auto" w:fill="FFFFFF"/>
                <w:lang w:val="uk-UA"/>
              </w:rPr>
              <w:lastRenderedPageBreak/>
              <w:t>власності або користування землею, у</w:t>
            </w:r>
            <w:r>
              <w:rPr>
                <w:color w:val="auto"/>
                <w:szCs w:val="24"/>
                <w:shd w:val="clear" w:color="auto" w:fill="FFFFFF"/>
                <w:lang w:val="uk-UA"/>
              </w:rPr>
              <w:t xml:space="preserve"> тому числі і на умовах оренди,</w:t>
            </w:r>
            <w:r w:rsidRPr="009940C8">
              <w:rPr>
                <w:color w:val="auto"/>
                <w:szCs w:val="24"/>
                <w:shd w:val="clear" w:color="auto" w:fill="FFFFFF"/>
                <w:lang w:val="uk-UA"/>
              </w:rPr>
              <w:t xml:space="preserve"> створення нових робочих місць</w:t>
            </w:r>
            <w:r w:rsidRPr="009940C8">
              <w:rPr>
                <w:rFonts w:eastAsia="Calibri"/>
                <w:color w:val="auto"/>
                <w:szCs w:val="24"/>
                <w:lang w:val="uk-UA" w:eastAsia="en-US"/>
              </w:rPr>
              <w:t xml:space="preserve"> </w:t>
            </w:r>
          </w:p>
        </w:tc>
      </w:tr>
      <w:tr w:rsidR="00E223A5" w:rsidRPr="00E501BB" w:rsidTr="00E223A5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jc w:val="center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5" w:rsidRPr="00091EC5" w:rsidRDefault="00E223A5" w:rsidP="002937D0">
            <w:pPr>
              <w:rPr>
                <w:color w:val="auto"/>
                <w:szCs w:val="24"/>
                <w:lang w:val="uk-UA"/>
              </w:rPr>
            </w:pPr>
            <w:r w:rsidRPr="00091EC5">
              <w:rPr>
                <w:color w:val="auto"/>
                <w:szCs w:val="24"/>
                <w:lang w:val="uk-UA"/>
              </w:rPr>
              <w:t>Координацію за виконанням заходів Програми, ефективним та цільовим використанням коштів її виконавцями здійснює відділ земельних питань та охорони навколишнього природного середовища виконавчого комітету Межівської селищної ради, контроль – постійна комісія селищної ради з питань земельних відносин, екології та охорони навколишнього природного середовища</w:t>
            </w:r>
          </w:p>
        </w:tc>
      </w:tr>
    </w:tbl>
    <w:p w:rsidR="00E223A5" w:rsidRDefault="00E223A5" w:rsidP="00E223A5">
      <w:pPr>
        <w:jc w:val="center"/>
        <w:rPr>
          <w:color w:val="auto"/>
          <w:szCs w:val="24"/>
          <w:lang w:val="uk-UA"/>
        </w:rPr>
      </w:pPr>
    </w:p>
    <w:p w:rsidR="00E223A5" w:rsidRPr="00743D61" w:rsidRDefault="00E223A5" w:rsidP="00E223A5">
      <w:pPr>
        <w:jc w:val="both"/>
        <w:rPr>
          <w:color w:val="auto"/>
          <w:szCs w:val="24"/>
          <w:lang w:val="uk-UA"/>
        </w:rPr>
      </w:pPr>
      <w:proofErr w:type="gramStart"/>
      <w:r w:rsidRPr="00743D61">
        <w:rPr>
          <w:color w:val="auto"/>
          <w:szCs w:val="24"/>
        </w:rPr>
        <w:t xml:space="preserve">*) </w:t>
      </w:r>
      <w:proofErr w:type="spellStart"/>
      <w:r w:rsidRPr="00743D61">
        <w:rPr>
          <w:color w:val="auto"/>
          <w:szCs w:val="24"/>
        </w:rPr>
        <w:t>Інші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джерела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можуть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включати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кошти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позабюджетних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фондів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гранти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власні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кошти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залучені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кредити</w:t>
      </w:r>
      <w:proofErr w:type="spellEnd"/>
      <w:r w:rsidRPr="00743D61">
        <w:rPr>
          <w:color w:val="auto"/>
          <w:szCs w:val="24"/>
        </w:rPr>
        <w:t xml:space="preserve">, </w:t>
      </w:r>
      <w:proofErr w:type="spellStart"/>
      <w:r w:rsidRPr="00743D61">
        <w:rPr>
          <w:color w:val="auto"/>
          <w:szCs w:val="24"/>
        </w:rPr>
        <w:t>інші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джерела</w:t>
      </w:r>
      <w:proofErr w:type="spellEnd"/>
      <w:r w:rsidRPr="00743D61">
        <w:rPr>
          <w:color w:val="auto"/>
          <w:szCs w:val="24"/>
        </w:rPr>
        <w:t xml:space="preserve">, не </w:t>
      </w:r>
      <w:proofErr w:type="spellStart"/>
      <w:r w:rsidRPr="00743D61">
        <w:rPr>
          <w:color w:val="auto"/>
          <w:szCs w:val="24"/>
        </w:rPr>
        <w:t>заборонені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чинним</w:t>
      </w:r>
      <w:proofErr w:type="spellEnd"/>
      <w:r w:rsidRPr="00743D61">
        <w:rPr>
          <w:color w:val="auto"/>
          <w:szCs w:val="24"/>
        </w:rPr>
        <w:t xml:space="preserve"> </w:t>
      </w:r>
      <w:proofErr w:type="spellStart"/>
      <w:r w:rsidRPr="00743D61">
        <w:rPr>
          <w:color w:val="auto"/>
          <w:szCs w:val="24"/>
        </w:rPr>
        <w:t>законодавством</w:t>
      </w:r>
      <w:proofErr w:type="spellEnd"/>
      <w:proofErr w:type="gramEnd"/>
    </w:p>
    <w:p w:rsidR="00E223A5" w:rsidRPr="00743D61" w:rsidRDefault="00E223A5" w:rsidP="00E223A5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</w:p>
    <w:p w:rsidR="00E223A5" w:rsidRPr="00743D61" w:rsidRDefault="00E223A5" w:rsidP="00E223A5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 w:rsidRPr="00743D61">
        <w:rPr>
          <w:color w:val="auto"/>
          <w:szCs w:val="24"/>
          <w:lang w:val="uk-UA"/>
        </w:rPr>
        <w:t>Відділ земельних питань та охорони навколишнього природного середовища виконавчого комітету Межівської селищної ради готує проєкти календарних планів та щоквартально, до 1</w:t>
      </w:r>
      <w:r>
        <w:rPr>
          <w:color w:val="auto"/>
          <w:szCs w:val="24"/>
          <w:lang w:val="uk-UA"/>
        </w:rPr>
        <w:t>0</w:t>
      </w:r>
      <w:r w:rsidRPr="00743D61">
        <w:rPr>
          <w:color w:val="auto"/>
          <w:szCs w:val="24"/>
          <w:lang w:val="uk-UA"/>
        </w:rPr>
        <w:t xml:space="preserve">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584B0B" w:rsidRPr="00DF2A03" w:rsidRDefault="00584B0B" w:rsidP="00584B0B">
      <w:pPr>
        <w:jc w:val="center"/>
        <w:rPr>
          <w:color w:val="auto"/>
          <w:szCs w:val="24"/>
        </w:rPr>
      </w:pPr>
      <w:r w:rsidRPr="00DF2A03">
        <w:rPr>
          <w:color w:val="auto"/>
          <w:szCs w:val="24"/>
        </w:rPr>
        <w:t>________________________</w:t>
      </w:r>
    </w:p>
    <w:p w:rsidR="00DF2A03" w:rsidRDefault="00DF2A03" w:rsidP="00DF2A03">
      <w:pPr>
        <w:rPr>
          <w:color w:val="auto"/>
          <w:szCs w:val="24"/>
          <w:lang w:val="uk-UA"/>
        </w:rPr>
      </w:pPr>
    </w:p>
    <w:p w:rsidR="00584B0B" w:rsidRDefault="00584B0B" w:rsidP="00DF2A03">
      <w:pPr>
        <w:rPr>
          <w:color w:val="auto"/>
          <w:szCs w:val="24"/>
          <w:lang w:val="uk-UA"/>
        </w:rPr>
      </w:pPr>
    </w:p>
    <w:p w:rsidR="00DF2A03" w:rsidRPr="00DF2A03" w:rsidRDefault="00DF2A03" w:rsidP="00DF2A03">
      <w:pPr>
        <w:rPr>
          <w:color w:val="auto"/>
          <w:szCs w:val="24"/>
        </w:rPr>
      </w:pPr>
      <w:proofErr w:type="spellStart"/>
      <w:r w:rsidRPr="00DF2A03">
        <w:rPr>
          <w:color w:val="auto"/>
          <w:szCs w:val="24"/>
        </w:rPr>
        <w:t>Секретар</w:t>
      </w:r>
      <w:proofErr w:type="spellEnd"/>
      <w:r w:rsidRPr="00DF2A03">
        <w:rPr>
          <w:color w:val="auto"/>
          <w:szCs w:val="24"/>
        </w:rPr>
        <w:t xml:space="preserve"> ради</w:t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proofErr w:type="spellStart"/>
      <w:r w:rsidRPr="00DF2A03">
        <w:rPr>
          <w:color w:val="auto"/>
          <w:szCs w:val="24"/>
        </w:rPr>
        <w:t>Любов</w:t>
      </w:r>
      <w:proofErr w:type="spellEnd"/>
      <w:r w:rsidRPr="00DF2A03">
        <w:rPr>
          <w:color w:val="auto"/>
          <w:szCs w:val="24"/>
        </w:rPr>
        <w:t xml:space="preserve"> МАКСІМКІ</w:t>
      </w:r>
      <w:proofErr w:type="gramStart"/>
      <w:r w:rsidRPr="00DF2A03">
        <w:rPr>
          <w:color w:val="auto"/>
          <w:szCs w:val="24"/>
        </w:rPr>
        <w:t>НА</w:t>
      </w:r>
      <w:proofErr w:type="gramEnd"/>
    </w:p>
    <w:sectPr w:rsidR="00DF2A03" w:rsidRPr="00DF2A03" w:rsidSect="006D4C0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70" w:rsidRDefault="00123770" w:rsidP="006D4C04">
      <w:r>
        <w:separator/>
      </w:r>
    </w:p>
  </w:endnote>
  <w:endnote w:type="continuationSeparator" w:id="0">
    <w:p w:rsidR="00123770" w:rsidRDefault="00123770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70" w:rsidRDefault="00123770" w:rsidP="006D4C04">
      <w:r>
        <w:separator/>
      </w:r>
    </w:p>
  </w:footnote>
  <w:footnote w:type="continuationSeparator" w:id="0">
    <w:p w:rsidR="00123770" w:rsidRDefault="00123770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E26B4A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E501BB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548E8"/>
    <w:rsid w:val="00091EC5"/>
    <w:rsid w:val="000C4959"/>
    <w:rsid w:val="000D6A83"/>
    <w:rsid w:val="000E63DB"/>
    <w:rsid w:val="000F42DA"/>
    <w:rsid w:val="00101318"/>
    <w:rsid w:val="00123770"/>
    <w:rsid w:val="00157888"/>
    <w:rsid w:val="0018394D"/>
    <w:rsid w:val="001A32F4"/>
    <w:rsid w:val="00256560"/>
    <w:rsid w:val="002722D8"/>
    <w:rsid w:val="00295BD6"/>
    <w:rsid w:val="002A72EA"/>
    <w:rsid w:val="00401C3E"/>
    <w:rsid w:val="00466138"/>
    <w:rsid w:val="004A6FE4"/>
    <w:rsid w:val="004D736A"/>
    <w:rsid w:val="004F4A40"/>
    <w:rsid w:val="00584B0B"/>
    <w:rsid w:val="00585F6F"/>
    <w:rsid w:val="005A6571"/>
    <w:rsid w:val="005D5B98"/>
    <w:rsid w:val="005F056F"/>
    <w:rsid w:val="005F28A6"/>
    <w:rsid w:val="006C5F62"/>
    <w:rsid w:val="006D4C04"/>
    <w:rsid w:val="00743D61"/>
    <w:rsid w:val="00795613"/>
    <w:rsid w:val="007D555E"/>
    <w:rsid w:val="00894F12"/>
    <w:rsid w:val="009216F8"/>
    <w:rsid w:val="009423B8"/>
    <w:rsid w:val="00963AAA"/>
    <w:rsid w:val="009940C8"/>
    <w:rsid w:val="009A10DC"/>
    <w:rsid w:val="009E3333"/>
    <w:rsid w:val="00A4510C"/>
    <w:rsid w:val="00A86D39"/>
    <w:rsid w:val="00AE241C"/>
    <w:rsid w:val="00B12640"/>
    <w:rsid w:val="00B14C4F"/>
    <w:rsid w:val="00B227A6"/>
    <w:rsid w:val="00B34F9A"/>
    <w:rsid w:val="00B44B09"/>
    <w:rsid w:val="00B921C9"/>
    <w:rsid w:val="00C628C3"/>
    <w:rsid w:val="00CE7434"/>
    <w:rsid w:val="00D1611F"/>
    <w:rsid w:val="00D93272"/>
    <w:rsid w:val="00DB742F"/>
    <w:rsid w:val="00DF2A03"/>
    <w:rsid w:val="00E01C19"/>
    <w:rsid w:val="00E223A5"/>
    <w:rsid w:val="00E26B4A"/>
    <w:rsid w:val="00E35B76"/>
    <w:rsid w:val="00E501BB"/>
    <w:rsid w:val="00E5393B"/>
    <w:rsid w:val="00F0502E"/>
    <w:rsid w:val="00FA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41</cp:revision>
  <cp:lastPrinted>2023-11-30T07:11:00Z</cp:lastPrinted>
  <dcterms:created xsi:type="dcterms:W3CDTF">2020-12-17T15:06:00Z</dcterms:created>
  <dcterms:modified xsi:type="dcterms:W3CDTF">2023-11-30T07:12:00Z</dcterms:modified>
</cp:coreProperties>
</file>